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1619" w14:textId="77777777" w:rsidR="00EB13E9" w:rsidRPr="005724F7" w:rsidRDefault="00EB13E9" w:rsidP="00EB13E9">
      <w:pPr>
        <w:spacing w:line="360" w:lineRule="auto"/>
        <w:ind w:firstLine="560"/>
        <w:jc w:val="center"/>
        <w:rPr>
          <w:rFonts w:eastAsia="黑体"/>
          <w:bCs/>
          <w:color w:val="000000"/>
          <w:szCs w:val="24"/>
        </w:rPr>
      </w:pPr>
    </w:p>
    <w:p w14:paraId="202D840B" w14:textId="77777777" w:rsidR="00EB13E9" w:rsidRPr="005724F7" w:rsidRDefault="00EB13E9" w:rsidP="00EB13E9">
      <w:pPr>
        <w:spacing w:line="360" w:lineRule="auto"/>
        <w:ind w:firstLine="560"/>
        <w:jc w:val="center"/>
        <w:rPr>
          <w:rFonts w:eastAsia="仿宋_GB2312"/>
          <w:color w:val="000000"/>
        </w:rPr>
      </w:pPr>
    </w:p>
    <w:p w14:paraId="0D2F4E00" w14:textId="77777777" w:rsidR="00EB13E9" w:rsidRPr="005724F7" w:rsidRDefault="00EB13E9" w:rsidP="00EB13E9">
      <w:pPr>
        <w:spacing w:line="360" w:lineRule="auto"/>
        <w:ind w:firstLine="560"/>
        <w:jc w:val="center"/>
        <w:rPr>
          <w:rFonts w:eastAsia="仿宋_GB2312"/>
          <w:color w:val="000000"/>
        </w:rPr>
      </w:pPr>
    </w:p>
    <w:p w14:paraId="6AD00BB9" w14:textId="77777777" w:rsidR="00EB13E9" w:rsidRDefault="00EB13E9" w:rsidP="00EB13E9">
      <w:pPr>
        <w:spacing w:line="360" w:lineRule="auto"/>
        <w:ind w:firstLine="560"/>
        <w:jc w:val="center"/>
        <w:rPr>
          <w:rFonts w:eastAsia="仿宋_GB2312"/>
          <w:color w:val="000000"/>
        </w:rPr>
      </w:pPr>
    </w:p>
    <w:p w14:paraId="4A5E9B1D" w14:textId="77777777" w:rsidR="00EB13E9" w:rsidRDefault="00EB13E9" w:rsidP="00EB13E9">
      <w:pPr>
        <w:spacing w:line="360" w:lineRule="auto"/>
        <w:ind w:firstLine="560"/>
        <w:jc w:val="center"/>
        <w:rPr>
          <w:rFonts w:eastAsia="仿宋_GB2312"/>
          <w:color w:val="000000"/>
        </w:rPr>
      </w:pPr>
    </w:p>
    <w:p w14:paraId="2A717862" w14:textId="77777777" w:rsidR="00EB13E9" w:rsidRPr="005724F7" w:rsidRDefault="00EB13E9" w:rsidP="00EB13E9">
      <w:pPr>
        <w:spacing w:line="360" w:lineRule="auto"/>
        <w:ind w:firstLine="560"/>
        <w:jc w:val="center"/>
        <w:rPr>
          <w:rFonts w:eastAsia="仿宋_GB2312"/>
          <w:color w:val="000000"/>
        </w:rPr>
      </w:pPr>
    </w:p>
    <w:p w14:paraId="5E242110" w14:textId="77777777" w:rsidR="00EB13E9" w:rsidRPr="000A2241" w:rsidRDefault="00C764ED" w:rsidP="00EB13E9">
      <w:pPr>
        <w:widowControl w:val="0"/>
        <w:adjustRightInd/>
        <w:spacing w:line="360" w:lineRule="auto"/>
        <w:ind w:firstLineChars="0" w:firstLine="0"/>
        <w:jc w:val="center"/>
        <w:rPr>
          <w:b/>
          <w:bCs/>
          <w:kern w:val="2"/>
          <w:sz w:val="44"/>
          <w:szCs w:val="52"/>
        </w:rPr>
      </w:pPr>
      <w:r w:rsidRPr="00C764ED">
        <w:rPr>
          <w:rFonts w:hint="eastAsia"/>
          <w:b/>
          <w:bCs/>
          <w:kern w:val="2"/>
          <w:sz w:val="44"/>
          <w:szCs w:val="52"/>
        </w:rPr>
        <w:t>738</w:t>
      </w:r>
      <w:r w:rsidRPr="00C764ED">
        <w:rPr>
          <w:rFonts w:hint="eastAsia"/>
          <w:b/>
          <w:bCs/>
          <w:kern w:val="2"/>
          <w:sz w:val="44"/>
          <w:szCs w:val="52"/>
        </w:rPr>
        <w:t>矿地</w:t>
      </w:r>
      <w:proofErr w:type="gramStart"/>
      <w:r w:rsidRPr="00C764ED">
        <w:rPr>
          <w:rFonts w:hint="eastAsia"/>
          <w:b/>
          <w:bCs/>
          <w:kern w:val="2"/>
          <w:sz w:val="44"/>
          <w:szCs w:val="52"/>
        </w:rPr>
        <w:t>浸采铀试验</w:t>
      </w:r>
      <w:proofErr w:type="gramEnd"/>
      <w:r w:rsidRPr="00C764ED">
        <w:rPr>
          <w:rFonts w:hint="eastAsia"/>
          <w:b/>
          <w:bCs/>
          <w:kern w:val="2"/>
          <w:sz w:val="44"/>
          <w:szCs w:val="52"/>
        </w:rPr>
        <w:t>研究延续项目</w:t>
      </w:r>
    </w:p>
    <w:p w14:paraId="2B155E5F" w14:textId="77777777" w:rsidR="00EB13E9" w:rsidRPr="000A2241" w:rsidRDefault="00EB13E9" w:rsidP="00EB13E9">
      <w:pPr>
        <w:spacing w:line="360" w:lineRule="auto"/>
        <w:ind w:firstLineChars="0" w:firstLine="0"/>
        <w:jc w:val="center"/>
        <w:rPr>
          <w:b/>
          <w:bCs/>
          <w:kern w:val="2"/>
          <w:sz w:val="44"/>
          <w:szCs w:val="52"/>
        </w:rPr>
      </w:pPr>
      <w:r w:rsidRPr="000A2241">
        <w:rPr>
          <w:b/>
          <w:bCs/>
          <w:kern w:val="2"/>
          <w:sz w:val="44"/>
          <w:szCs w:val="52"/>
        </w:rPr>
        <w:t>竣工环境保护</w:t>
      </w:r>
      <w:r>
        <w:rPr>
          <w:rFonts w:hint="eastAsia"/>
          <w:b/>
          <w:bCs/>
          <w:kern w:val="2"/>
          <w:sz w:val="44"/>
          <w:szCs w:val="52"/>
        </w:rPr>
        <w:t>验收</w:t>
      </w:r>
    </w:p>
    <w:p w14:paraId="6DD22A24" w14:textId="77777777" w:rsidR="00EB13E9" w:rsidRPr="000A2241" w:rsidRDefault="00EB13E9" w:rsidP="00EB13E9">
      <w:pPr>
        <w:spacing w:before="200" w:line="360" w:lineRule="auto"/>
        <w:ind w:firstLineChars="0" w:firstLine="0"/>
        <w:jc w:val="center"/>
        <w:rPr>
          <w:b/>
          <w:bCs/>
          <w:kern w:val="2"/>
          <w:sz w:val="52"/>
          <w:szCs w:val="52"/>
        </w:rPr>
      </w:pPr>
      <w:r>
        <w:rPr>
          <w:rFonts w:hint="eastAsia"/>
          <w:b/>
          <w:bCs/>
          <w:kern w:val="2"/>
          <w:sz w:val="52"/>
          <w:szCs w:val="52"/>
        </w:rPr>
        <w:t>其他需要说明的事项</w:t>
      </w:r>
    </w:p>
    <w:p w14:paraId="32A799CB" w14:textId="77777777" w:rsidR="00EB13E9" w:rsidRPr="000A2241" w:rsidRDefault="00EB13E9" w:rsidP="00EB13E9">
      <w:pPr>
        <w:spacing w:line="360" w:lineRule="auto"/>
        <w:ind w:firstLine="560"/>
        <w:jc w:val="center"/>
        <w:rPr>
          <w:rFonts w:eastAsia="仿宋_GB2312"/>
          <w:color w:val="000000"/>
        </w:rPr>
      </w:pPr>
    </w:p>
    <w:p w14:paraId="62C3DE2E" w14:textId="77777777" w:rsidR="00EB13E9" w:rsidRPr="000A2241" w:rsidRDefault="00EB13E9" w:rsidP="00EB13E9">
      <w:pPr>
        <w:ind w:firstLine="560"/>
        <w:jc w:val="center"/>
        <w:rPr>
          <w:rFonts w:eastAsia="仿宋_GB2312"/>
          <w:color w:val="000000"/>
        </w:rPr>
      </w:pPr>
    </w:p>
    <w:p w14:paraId="0F2F77F6" w14:textId="77777777" w:rsidR="00EB13E9" w:rsidRPr="000A2241" w:rsidRDefault="00EB13E9" w:rsidP="00EB13E9">
      <w:pPr>
        <w:ind w:firstLine="560"/>
        <w:jc w:val="center"/>
        <w:rPr>
          <w:rFonts w:eastAsia="仿宋_GB2312"/>
          <w:color w:val="000000"/>
        </w:rPr>
      </w:pPr>
    </w:p>
    <w:p w14:paraId="2B19C567" w14:textId="77777777" w:rsidR="00EB13E9" w:rsidRPr="000A2241" w:rsidRDefault="00EB13E9" w:rsidP="00EB13E9">
      <w:pPr>
        <w:ind w:firstLine="560"/>
        <w:jc w:val="center"/>
        <w:rPr>
          <w:rFonts w:eastAsia="仿宋_GB2312"/>
          <w:color w:val="000000"/>
        </w:rPr>
      </w:pPr>
    </w:p>
    <w:p w14:paraId="16B6BA44" w14:textId="77777777" w:rsidR="00EB13E9" w:rsidRPr="000A2241" w:rsidRDefault="00EB13E9" w:rsidP="00EB13E9">
      <w:pPr>
        <w:ind w:firstLine="560"/>
        <w:jc w:val="center"/>
        <w:rPr>
          <w:rFonts w:eastAsia="仿宋_GB2312"/>
          <w:color w:val="000000"/>
        </w:rPr>
      </w:pPr>
    </w:p>
    <w:p w14:paraId="7B147EDE" w14:textId="77777777" w:rsidR="00EB13E9" w:rsidRPr="000A2241" w:rsidRDefault="00EB13E9" w:rsidP="00EB13E9">
      <w:pPr>
        <w:ind w:firstLine="560"/>
        <w:jc w:val="center"/>
        <w:rPr>
          <w:rFonts w:eastAsia="仿宋_GB2312"/>
          <w:color w:val="000000"/>
        </w:rPr>
      </w:pPr>
    </w:p>
    <w:p w14:paraId="5C540561" w14:textId="77777777" w:rsidR="00EB13E9" w:rsidRPr="000A2241" w:rsidRDefault="00EB13E9" w:rsidP="00EB13E9">
      <w:pPr>
        <w:ind w:firstLine="560"/>
        <w:jc w:val="center"/>
        <w:rPr>
          <w:rFonts w:eastAsia="仿宋_GB2312"/>
          <w:color w:val="000000"/>
        </w:rPr>
      </w:pPr>
    </w:p>
    <w:p w14:paraId="1E5F4876" w14:textId="77777777" w:rsidR="00EB13E9" w:rsidRPr="000A2241" w:rsidRDefault="00EB13E9" w:rsidP="00EB13E9">
      <w:pPr>
        <w:ind w:firstLine="560"/>
        <w:jc w:val="center"/>
        <w:rPr>
          <w:rFonts w:eastAsia="仿宋_GB2312"/>
          <w:color w:val="000000"/>
        </w:rPr>
      </w:pPr>
    </w:p>
    <w:p w14:paraId="486B91C3" w14:textId="77777777" w:rsidR="00EB13E9" w:rsidRPr="000A2241" w:rsidRDefault="00EB13E9" w:rsidP="00EB13E9">
      <w:pPr>
        <w:ind w:firstLine="560"/>
        <w:jc w:val="center"/>
        <w:rPr>
          <w:rFonts w:eastAsia="仿宋_GB2312"/>
          <w:color w:val="000000"/>
        </w:rPr>
      </w:pPr>
    </w:p>
    <w:p w14:paraId="61C3B6D6" w14:textId="77777777" w:rsidR="00EB13E9" w:rsidRPr="000A2241" w:rsidRDefault="00EB13E9" w:rsidP="00EB13E9">
      <w:pPr>
        <w:ind w:firstLine="560"/>
        <w:rPr>
          <w:rFonts w:eastAsia="仿宋_GB2312"/>
          <w:color w:val="000000"/>
        </w:rPr>
      </w:pPr>
    </w:p>
    <w:p w14:paraId="2C4A1725" w14:textId="77777777" w:rsidR="00EB13E9" w:rsidRPr="000A2241" w:rsidRDefault="00EB13E9" w:rsidP="00EB13E9">
      <w:pPr>
        <w:ind w:firstLine="560"/>
        <w:rPr>
          <w:rFonts w:eastAsia="仿宋_GB2312"/>
          <w:color w:val="000000"/>
        </w:rPr>
      </w:pPr>
      <w:r w:rsidRPr="000A2241">
        <w:rPr>
          <w:rFonts w:eastAsia="仿宋_GB2312"/>
          <w:color w:val="000000"/>
        </w:rPr>
        <w:tab/>
      </w:r>
    </w:p>
    <w:p w14:paraId="3166B365" w14:textId="77777777" w:rsidR="00EB13E9" w:rsidRPr="000A2241" w:rsidRDefault="00EB13E9" w:rsidP="00EB13E9">
      <w:pPr>
        <w:ind w:firstLine="560"/>
        <w:rPr>
          <w:rFonts w:eastAsia="华文新魏"/>
          <w:color w:val="000000"/>
          <w:szCs w:val="28"/>
        </w:rPr>
      </w:pPr>
    </w:p>
    <w:p w14:paraId="4BFCF212" w14:textId="77777777" w:rsidR="00EB13E9" w:rsidRPr="000A2241" w:rsidRDefault="00DC2D80" w:rsidP="00EB13E9">
      <w:pPr>
        <w:widowControl w:val="0"/>
        <w:adjustRightInd/>
        <w:snapToGrid/>
        <w:spacing w:line="520" w:lineRule="exact"/>
        <w:ind w:firstLineChars="0" w:firstLine="0"/>
        <w:jc w:val="center"/>
        <w:rPr>
          <w:b/>
          <w:kern w:val="2"/>
          <w:szCs w:val="28"/>
        </w:rPr>
      </w:pPr>
      <w:r w:rsidRPr="00CC3011">
        <w:rPr>
          <w:rFonts w:hint="eastAsia"/>
          <w:b/>
          <w:kern w:val="2"/>
          <w:szCs w:val="28"/>
        </w:rPr>
        <w:t>新疆中核</w:t>
      </w:r>
      <w:proofErr w:type="gramStart"/>
      <w:r w:rsidRPr="00CC3011">
        <w:rPr>
          <w:rFonts w:hint="eastAsia"/>
          <w:b/>
          <w:kern w:val="2"/>
          <w:szCs w:val="28"/>
        </w:rPr>
        <w:t>天山铀业有限公司</w:t>
      </w:r>
      <w:proofErr w:type="gramEnd"/>
    </w:p>
    <w:p w14:paraId="41DF8836" w14:textId="77777777" w:rsidR="00EB13E9" w:rsidRPr="000A2241" w:rsidRDefault="00EB13E9" w:rsidP="00EB13E9">
      <w:pPr>
        <w:widowControl w:val="0"/>
        <w:adjustRightInd/>
        <w:snapToGrid/>
        <w:spacing w:line="520" w:lineRule="exact"/>
        <w:ind w:firstLineChars="0" w:firstLine="0"/>
        <w:jc w:val="center"/>
        <w:rPr>
          <w:b/>
          <w:kern w:val="2"/>
          <w:szCs w:val="28"/>
        </w:rPr>
      </w:pPr>
      <w:r w:rsidRPr="000A2241">
        <w:rPr>
          <w:b/>
          <w:noProof/>
          <w:kern w:val="2"/>
          <w:szCs w:val="28"/>
        </w:rPr>
        <w:drawing>
          <wp:anchor distT="0" distB="0" distL="114300" distR="114300" simplePos="0" relativeHeight="251659264" behindDoc="1" locked="0" layoutInCell="1" allowOverlap="1" wp14:anchorId="4D30F583" wp14:editId="6A477C6D">
            <wp:simplePos x="0" y="0"/>
            <wp:positionH relativeFrom="column">
              <wp:posOffset>-137795</wp:posOffset>
            </wp:positionH>
            <wp:positionV relativeFrom="paragraph">
              <wp:posOffset>-7721600</wp:posOffset>
            </wp:positionV>
            <wp:extent cx="1781175" cy="781050"/>
            <wp:effectExtent l="0" t="0" r="9525" b="0"/>
            <wp:wrapTight wrapText="bothSides">
              <wp:wrapPolygon edited="0">
                <wp:start x="0" y="0"/>
                <wp:lineTo x="0" y="21073"/>
                <wp:lineTo x="21484" y="21073"/>
                <wp:lineTo x="2148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241">
        <w:rPr>
          <w:b/>
          <w:kern w:val="2"/>
          <w:szCs w:val="28"/>
        </w:rPr>
        <w:t>二〇二</w:t>
      </w:r>
      <w:r w:rsidR="00DC2D80">
        <w:rPr>
          <w:rFonts w:hint="eastAsia"/>
          <w:b/>
          <w:kern w:val="2"/>
          <w:szCs w:val="28"/>
        </w:rPr>
        <w:t>四</w:t>
      </w:r>
      <w:r w:rsidRPr="000A2241">
        <w:rPr>
          <w:b/>
          <w:kern w:val="2"/>
          <w:szCs w:val="28"/>
        </w:rPr>
        <w:t>年</w:t>
      </w:r>
      <w:r w:rsidR="00DC2D80">
        <w:rPr>
          <w:rFonts w:hint="eastAsia"/>
          <w:b/>
          <w:kern w:val="2"/>
          <w:szCs w:val="28"/>
        </w:rPr>
        <w:t>二</w:t>
      </w:r>
      <w:r w:rsidRPr="000A2241">
        <w:rPr>
          <w:b/>
          <w:kern w:val="2"/>
          <w:szCs w:val="28"/>
        </w:rPr>
        <w:t>月</w:t>
      </w:r>
    </w:p>
    <w:p w14:paraId="37795A22" w14:textId="77777777" w:rsidR="00EB13E9" w:rsidRDefault="00EB13E9">
      <w:pPr>
        <w:ind w:firstLine="560"/>
        <w:sectPr w:rsidR="00EB13E9" w:rsidSect="00EB13E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12"/>
        </w:sectPr>
      </w:pPr>
    </w:p>
    <w:p w14:paraId="45838E03" w14:textId="77777777" w:rsidR="001E2513" w:rsidRDefault="001E2513" w:rsidP="001E2513">
      <w:pPr>
        <w:spacing w:line="360" w:lineRule="auto"/>
        <w:ind w:firstLineChars="0" w:firstLine="0"/>
        <w:jc w:val="center"/>
        <w:rPr>
          <w:b/>
          <w:sz w:val="32"/>
        </w:rPr>
      </w:pPr>
      <w:r w:rsidRPr="001E2513">
        <w:rPr>
          <w:rFonts w:hint="eastAsia"/>
          <w:b/>
          <w:bCs/>
          <w:sz w:val="32"/>
        </w:rPr>
        <w:lastRenderedPageBreak/>
        <w:t>738</w:t>
      </w:r>
      <w:r w:rsidRPr="001E2513">
        <w:rPr>
          <w:rFonts w:hint="eastAsia"/>
          <w:b/>
          <w:bCs/>
          <w:sz w:val="32"/>
        </w:rPr>
        <w:t>矿地</w:t>
      </w:r>
      <w:proofErr w:type="gramStart"/>
      <w:r w:rsidRPr="001E2513">
        <w:rPr>
          <w:rFonts w:hint="eastAsia"/>
          <w:b/>
          <w:bCs/>
          <w:sz w:val="32"/>
        </w:rPr>
        <w:t>浸采铀试验</w:t>
      </w:r>
      <w:proofErr w:type="gramEnd"/>
      <w:r w:rsidRPr="001E2513">
        <w:rPr>
          <w:rFonts w:hint="eastAsia"/>
          <w:b/>
          <w:bCs/>
          <w:sz w:val="32"/>
        </w:rPr>
        <w:t>研究延续项目</w:t>
      </w:r>
      <w:r w:rsidR="00EB13E9" w:rsidRPr="00EB13E9">
        <w:rPr>
          <w:rFonts w:hint="eastAsia"/>
          <w:b/>
          <w:sz w:val="32"/>
        </w:rPr>
        <w:t>竣工环境保护验收</w:t>
      </w:r>
    </w:p>
    <w:p w14:paraId="62EBE3C0" w14:textId="77777777" w:rsidR="00555EA1" w:rsidRPr="00EB13E9" w:rsidRDefault="00EB13E9" w:rsidP="001E2513">
      <w:pPr>
        <w:spacing w:line="360" w:lineRule="auto"/>
        <w:ind w:firstLineChars="0" w:firstLine="0"/>
        <w:jc w:val="center"/>
        <w:rPr>
          <w:b/>
          <w:sz w:val="32"/>
        </w:rPr>
      </w:pPr>
      <w:r w:rsidRPr="00EB13E9">
        <w:rPr>
          <w:rFonts w:hint="eastAsia"/>
          <w:b/>
          <w:sz w:val="32"/>
        </w:rPr>
        <w:t>其他需要说明的事项</w:t>
      </w:r>
    </w:p>
    <w:p w14:paraId="0E8D34B7" w14:textId="77777777" w:rsidR="00EB13E9" w:rsidRPr="00A309CD" w:rsidRDefault="00EB13E9" w:rsidP="00EB13E9">
      <w:pPr>
        <w:pStyle w:val="1"/>
      </w:pPr>
      <w:r w:rsidRPr="00A309CD">
        <w:rPr>
          <w:rFonts w:hint="eastAsia"/>
        </w:rPr>
        <w:t>1</w:t>
      </w:r>
      <w:r w:rsidRPr="00A309CD">
        <w:rPr>
          <w:rFonts w:hint="eastAsia"/>
        </w:rPr>
        <w:t>环境保护设施设计、施工和验收过程简况</w:t>
      </w:r>
    </w:p>
    <w:p w14:paraId="5A2BFC89" w14:textId="77777777" w:rsidR="00EB13E9" w:rsidRPr="00A309CD" w:rsidRDefault="00EB13E9" w:rsidP="00EB13E9">
      <w:pPr>
        <w:pStyle w:val="2"/>
      </w:pPr>
      <w:r w:rsidRPr="00A309CD">
        <w:rPr>
          <w:rFonts w:hint="eastAsia"/>
        </w:rPr>
        <w:t>1.1</w:t>
      </w:r>
      <w:r w:rsidRPr="00A309CD">
        <w:rPr>
          <w:rFonts w:hint="eastAsia"/>
        </w:rPr>
        <w:t>设计简况</w:t>
      </w:r>
    </w:p>
    <w:p w14:paraId="64840C7A" w14:textId="77777777" w:rsidR="001D17E7" w:rsidRDefault="00761322" w:rsidP="001F14D4">
      <w:pPr>
        <w:ind w:firstLine="560"/>
      </w:pPr>
      <w:r w:rsidRPr="00761322">
        <w:rPr>
          <w:rFonts w:hint="eastAsia"/>
          <w:szCs w:val="28"/>
        </w:rPr>
        <w:t>738</w:t>
      </w:r>
      <w:r w:rsidRPr="00761322">
        <w:rPr>
          <w:rFonts w:hint="eastAsia"/>
          <w:szCs w:val="28"/>
        </w:rPr>
        <w:t>矿地</w:t>
      </w:r>
      <w:proofErr w:type="gramStart"/>
      <w:r w:rsidRPr="00761322">
        <w:rPr>
          <w:rFonts w:hint="eastAsia"/>
          <w:szCs w:val="28"/>
        </w:rPr>
        <w:t>浸采铀试验</w:t>
      </w:r>
      <w:proofErr w:type="gramEnd"/>
      <w:r w:rsidRPr="00761322">
        <w:rPr>
          <w:rFonts w:hint="eastAsia"/>
          <w:szCs w:val="28"/>
        </w:rPr>
        <w:t>研究延续项目</w:t>
      </w:r>
      <w:r w:rsidR="00784AC7">
        <w:rPr>
          <w:rFonts w:hint="eastAsia"/>
          <w:szCs w:val="28"/>
        </w:rPr>
        <w:t>位于</w:t>
      </w:r>
      <w:r w:rsidRPr="00761322">
        <w:t>新疆维吾尔自治区吐鲁番市与托克逊县交界处的</w:t>
      </w:r>
      <w:proofErr w:type="gramStart"/>
      <w:r w:rsidRPr="00761322">
        <w:t>十红滩</w:t>
      </w:r>
      <w:proofErr w:type="gramEnd"/>
      <w:r w:rsidRPr="00761322">
        <w:t>戈壁滩</w:t>
      </w:r>
      <w:r w:rsidR="00784AC7">
        <w:rPr>
          <w:rFonts w:hint="eastAsia"/>
        </w:rPr>
        <w:t>。</w:t>
      </w:r>
      <w:r w:rsidR="00D51CB3">
        <w:rPr>
          <w:rFonts w:hint="eastAsia"/>
        </w:rPr>
        <w:t>本项目</w:t>
      </w:r>
      <w:r w:rsidR="00C764ED">
        <w:rPr>
          <w:rFonts w:hint="eastAsia"/>
        </w:rPr>
        <w:t>建设内容</w:t>
      </w:r>
      <w:r w:rsidR="00C764ED">
        <w:rPr>
          <w:rFonts w:hint="eastAsia"/>
          <w:color w:val="000000"/>
          <w:szCs w:val="24"/>
        </w:rPr>
        <w:t>主要包括试验井场、卫星吸附厂、现有设施改造及辅助设施</w:t>
      </w:r>
      <w:r w:rsidR="001D17E7">
        <w:rPr>
          <w:rFonts w:hint="eastAsia"/>
        </w:rPr>
        <w:t>。</w:t>
      </w:r>
    </w:p>
    <w:p w14:paraId="38DF9610" w14:textId="77777777" w:rsidR="00784AC7" w:rsidRDefault="001D17E7" w:rsidP="001F14D4">
      <w:pPr>
        <w:ind w:firstLine="560"/>
        <w:rPr>
          <w:szCs w:val="28"/>
        </w:rPr>
      </w:pPr>
      <w:r>
        <w:rPr>
          <w:rFonts w:hint="eastAsia"/>
        </w:rPr>
        <w:t>本项目总投资</w:t>
      </w:r>
      <w:r w:rsidR="00761322">
        <w:rPr>
          <w:szCs w:val="28"/>
        </w:rPr>
        <w:t>1880</w:t>
      </w:r>
      <w:r>
        <w:rPr>
          <w:szCs w:val="28"/>
        </w:rPr>
        <w:t>万元，其中环保投资</w:t>
      </w:r>
      <w:r w:rsidR="00761322">
        <w:rPr>
          <w:szCs w:val="28"/>
        </w:rPr>
        <w:t>373.74</w:t>
      </w:r>
      <w:r>
        <w:rPr>
          <w:szCs w:val="28"/>
        </w:rPr>
        <w:t>万元</w:t>
      </w:r>
      <w:r>
        <w:rPr>
          <w:rFonts w:hint="eastAsia"/>
          <w:szCs w:val="28"/>
        </w:rPr>
        <w:t>，环保投资占工程总投资的</w:t>
      </w:r>
      <w:r w:rsidR="00761322">
        <w:rPr>
          <w:szCs w:val="28"/>
        </w:rPr>
        <w:t>19.89</w:t>
      </w:r>
      <w:r>
        <w:rPr>
          <w:szCs w:val="28"/>
        </w:rPr>
        <w:t>%</w:t>
      </w:r>
      <w:r>
        <w:rPr>
          <w:szCs w:val="28"/>
        </w:rPr>
        <w:t>。</w:t>
      </w:r>
      <w:r>
        <w:rPr>
          <w:rFonts w:hint="eastAsia"/>
          <w:szCs w:val="28"/>
        </w:rPr>
        <w:t>建设的环境保护设施主要包括井场监测井、</w:t>
      </w:r>
      <w:r>
        <w:rPr>
          <w:szCs w:val="28"/>
        </w:rPr>
        <w:t>移动式</w:t>
      </w:r>
      <w:proofErr w:type="gramStart"/>
      <w:r>
        <w:rPr>
          <w:szCs w:val="28"/>
        </w:rPr>
        <w:t>环保洗孔</w:t>
      </w:r>
      <w:r w:rsidR="00761322">
        <w:rPr>
          <w:rFonts w:hint="eastAsia"/>
          <w:szCs w:val="28"/>
        </w:rPr>
        <w:t>设施</w:t>
      </w:r>
      <w:proofErr w:type="gramEnd"/>
      <w:r>
        <w:rPr>
          <w:rFonts w:hint="eastAsia"/>
          <w:szCs w:val="28"/>
        </w:rPr>
        <w:t>、泥浆处理设施、泵类设备的减震基础</w:t>
      </w:r>
      <w:r w:rsidR="007166E9">
        <w:rPr>
          <w:rFonts w:hint="eastAsia"/>
          <w:szCs w:val="28"/>
        </w:rPr>
        <w:t>和隔声</w:t>
      </w:r>
      <w:r>
        <w:rPr>
          <w:rFonts w:hint="eastAsia"/>
          <w:szCs w:val="28"/>
        </w:rPr>
        <w:t>、</w:t>
      </w:r>
      <w:r w:rsidRPr="00371145">
        <w:rPr>
          <w:rFonts w:hint="eastAsia"/>
          <w:szCs w:val="28"/>
        </w:rPr>
        <w:t>流量和压力自动检测报警装置</w:t>
      </w:r>
      <w:r>
        <w:rPr>
          <w:rFonts w:hint="eastAsia"/>
          <w:szCs w:val="28"/>
        </w:rPr>
        <w:t>等，上述环境保护设施均已纳入设计文件。</w:t>
      </w:r>
    </w:p>
    <w:p w14:paraId="748CB34F" w14:textId="77777777" w:rsidR="001D17E7" w:rsidRDefault="001D17E7" w:rsidP="001F14D4">
      <w:pPr>
        <w:ind w:firstLine="560"/>
      </w:pPr>
      <w:r>
        <w:rPr>
          <w:rFonts w:hint="eastAsia"/>
          <w:szCs w:val="28"/>
        </w:rPr>
        <w:t>本项目环境保护措施均符合相应的设计技术规范要求，并且编制了环境保护篇章，落实了</w:t>
      </w:r>
      <w:r w:rsidRPr="00A309CD">
        <w:rPr>
          <w:rFonts w:hint="eastAsia"/>
        </w:rPr>
        <w:t>防治污染和生态破环的措施以及环境保护设施投资概算。</w:t>
      </w:r>
    </w:p>
    <w:p w14:paraId="54C7D330" w14:textId="77777777" w:rsidR="00EB13E9" w:rsidRDefault="00EB13E9" w:rsidP="00EB13E9">
      <w:pPr>
        <w:pStyle w:val="2"/>
      </w:pPr>
      <w:r w:rsidRPr="00EB13E9">
        <w:rPr>
          <w:rFonts w:hint="eastAsia"/>
        </w:rPr>
        <w:t>1.2</w:t>
      </w:r>
      <w:r w:rsidRPr="00EB13E9">
        <w:rPr>
          <w:rFonts w:hint="eastAsia"/>
        </w:rPr>
        <w:t>施工简况</w:t>
      </w:r>
    </w:p>
    <w:p w14:paraId="10FDAB16" w14:textId="77777777" w:rsidR="001D17E7" w:rsidRDefault="00D51CB3" w:rsidP="00784AC7">
      <w:pPr>
        <w:ind w:firstLine="560"/>
      </w:pPr>
      <w:r>
        <w:rPr>
          <w:rFonts w:hint="eastAsia"/>
        </w:rPr>
        <w:t>本项目</w:t>
      </w:r>
      <w:r w:rsidR="001D17E7">
        <w:rPr>
          <w:rFonts w:hint="eastAsia"/>
        </w:rPr>
        <w:t>于</w:t>
      </w:r>
      <w:r w:rsidR="001D17E7">
        <w:rPr>
          <w:rFonts w:hint="eastAsia"/>
        </w:rPr>
        <w:t>2</w:t>
      </w:r>
      <w:r w:rsidR="001D17E7">
        <w:t>02</w:t>
      </w:r>
      <w:r w:rsidR="00761322">
        <w:t>2</w:t>
      </w:r>
      <w:r w:rsidR="001D17E7">
        <w:rPr>
          <w:rFonts w:hint="eastAsia"/>
        </w:rPr>
        <w:t>年</w:t>
      </w:r>
      <w:r w:rsidR="00761322">
        <w:t>3</w:t>
      </w:r>
      <w:r w:rsidR="001D17E7">
        <w:rPr>
          <w:rFonts w:hint="eastAsia"/>
        </w:rPr>
        <w:t>月</w:t>
      </w:r>
      <w:r w:rsidR="00761322">
        <w:t>30</w:t>
      </w:r>
      <w:r w:rsidR="001D17E7">
        <w:rPr>
          <w:rFonts w:hint="eastAsia"/>
        </w:rPr>
        <w:t>日开始施工，于</w:t>
      </w:r>
      <w:r w:rsidR="001D17E7">
        <w:rPr>
          <w:rFonts w:hint="eastAsia"/>
        </w:rPr>
        <w:t>2</w:t>
      </w:r>
      <w:r w:rsidR="00761322">
        <w:t>023</w:t>
      </w:r>
      <w:r w:rsidR="001D17E7">
        <w:rPr>
          <w:rFonts w:hint="eastAsia"/>
        </w:rPr>
        <w:t>年</w:t>
      </w:r>
      <w:r w:rsidR="00464B39">
        <w:t>9</w:t>
      </w:r>
      <w:r w:rsidR="001D17E7">
        <w:rPr>
          <w:rFonts w:hint="eastAsia"/>
        </w:rPr>
        <w:t>月</w:t>
      </w:r>
      <w:r w:rsidR="00464B39">
        <w:t>30</w:t>
      </w:r>
      <w:r w:rsidR="001D17E7">
        <w:rPr>
          <w:rFonts w:hint="eastAsia"/>
        </w:rPr>
        <w:t>日竣工。本项目</w:t>
      </w:r>
      <w:r>
        <w:rPr>
          <w:rFonts w:hint="eastAsia"/>
        </w:rPr>
        <w:t>所有环境保护设施均已纳入了施工合同，环境保护设施的建设进度和资金均已得到了保证。项目建设过程中组织实施了环境影响报告表</w:t>
      </w:r>
      <w:r w:rsidRPr="001F14D4">
        <w:rPr>
          <w:rFonts w:hint="eastAsia"/>
        </w:rPr>
        <w:t>及其审批部门审批决定中提出的</w:t>
      </w:r>
      <w:r w:rsidR="007166E9" w:rsidRPr="000A2241">
        <w:rPr>
          <w:rFonts w:hint="eastAsia"/>
          <w:szCs w:val="21"/>
        </w:rPr>
        <w:t>场地洒水抑尘</w:t>
      </w:r>
      <w:r w:rsidR="007166E9">
        <w:rPr>
          <w:rFonts w:hint="eastAsia"/>
          <w:szCs w:val="21"/>
        </w:rPr>
        <w:t>、围挡、遮盖、减振、</w:t>
      </w:r>
      <w:r w:rsidR="007166E9" w:rsidRPr="000A2241">
        <w:rPr>
          <w:szCs w:val="21"/>
        </w:rPr>
        <w:t>恢复</w:t>
      </w:r>
      <w:r w:rsidR="00C764ED">
        <w:rPr>
          <w:rFonts w:hint="eastAsia"/>
          <w:szCs w:val="21"/>
        </w:rPr>
        <w:t>地貌</w:t>
      </w:r>
      <w:r w:rsidR="007166E9">
        <w:rPr>
          <w:rFonts w:hint="eastAsia"/>
          <w:szCs w:val="21"/>
        </w:rPr>
        <w:t>等</w:t>
      </w:r>
      <w:r w:rsidRPr="001F14D4">
        <w:rPr>
          <w:rFonts w:hint="eastAsia"/>
        </w:rPr>
        <w:t>环境保护对策措施。</w:t>
      </w:r>
    </w:p>
    <w:p w14:paraId="6E992BE1" w14:textId="77777777" w:rsidR="00EB13E9" w:rsidRPr="001F14D4" w:rsidRDefault="00EB13E9" w:rsidP="001F14D4">
      <w:pPr>
        <w:pStyle w:val="2"/>
      </w:pPr>
      <w:r w:rsidRPr="001F14D4">
        <w:rPr>
          <w:rFonts w:hint="eastAsia"/>
        </w:rPr>
        <w:t>1.3</w:t>
      </w:r>
      <w:r w:rsidRPr="001F14D4">
        <w:rPr>
          <w:rFonts w:hint="eastAsia"/>
        </w:rPr>
        <w:t>验收过程简况</w:t>
      </w:r>
    </w:p>
    <w:p w14:paraId="05353C1F" w14:textId="77777777" w:rsidR="001E1894" w:rsidRDefault="00E32C38" w:rsidP="001F14D4">
      <w:pPr>
        <w:ind w:firstLine="560"/>
      </w:pPr>
      <w:r>
        <w:rPr>
          <w:rFonts w:hint="eastAsia"/>
        </w:rPr>
        <w:t>本项目于</w:t>
      </w:r>
      <w:r>
        <w:rPr>
          <w:rFonts w:hint="eastAsia"/>
        </w:rPr>
        <w:t>2</w:t>
      </w:r>
      <w:r>
        <w:t>023</w:t>
      </w:r>
      <w:r>
        <w:rPr>
          <w:rFonts w:hint="eastAsia"/>
        </w:rPr>
        <w:t>年</w:t>
      </w:r>
      <w:r w:rsidR="00ED5464">
        <w:t>10</w:t>
      </w:r>
      <w:r>
        <w:rPr>
          <w:rFonts w:hint="eastAsia"/>
        </w:rPr>
        <w:t>月</w:t>
      </w:r>
      <w:r w:rsidR="00ED5464">
        <w:t>15</w:t>
      </w:r>
      <w:r>
        <w:rPr>
          <w:rFonts w:hint="eastAsia"/>
        </w:rPr>
        <w:t>日启动竣工环境保护验收工作</w:t>
      </w:r>
      <w:r w:rsidR="00ED5464">
        <w:rPr>
          <w:rFonts w:hint="eastAsia"/>
        </w:rPr>
        <w:t>。其中，</w:t>
      </w:r>
      <w:r>
        <w:rPr>
          <w:rFonts w:hint="eastAsia"/>
        </w:rPr>
        <w:t>验收监测工作由</w:t>
      </w:r>
      <w:r w:rsidR="00761322" w:rsidRPr="00761322">
        <w:t>核工业二一六大队检测研究院</w:t>
      </w:r>
      <w:r>
        <w:rPr>
          <w:rFonts w:hint="eastAsia"/>
        </w:rPr>
        <w:t>承担，该监测</w:t>
      </w:r>
      <w:r w:rsidR="00F51417">
        <w:rPr>
          <w:rFonts w:hint="eastAsia"/>
        </w:rPr>
        <w:t>机构</w:t>
      </w:r>
      <w:r>
        <w:rPr>
          <w:rFonts w:hint="eastAsia"/>
        </w:rPr>
        <w:t>通过了中国计量认证，</w:t>
      </w:r>
      <w:r>
        <w:rPr>
          <w:rFonts w:hint="eastAsia"/>
        </w:rPr>
        <w:t>CMA</w:t>
      </w:r>
      <w:r>
        <w:rPr>
          <w:rFonts w:hint="eastAsia"/>
        </w:rPr>
        <w:t>证书编号为</w:t>
      </w:r>
      <w:r w:rsidR="00761322" w:rsidRPr="00761322">
        <w:t>220020342000</w:t>
      </w:r>
      <w:r w:rsidR="00761322" w:rsidRPr="00761322">
        <w:t>，有效期为</w:t>
      </w:r>
      <w:r w:rsidR="00761322" w:rsidRPr="00761322">
        <w:t>2028</w:t>
      </w:r>
      <w:r w:rsidR="00761322" w:rsidRPr="00761322">
        <w:t>年</w:t>
      </w:r>
      <w:r w:rsidR="00761322" w:rsidRPr="00761322">
        <w:t>7</w:t>
      </w:r>
      <w:r w:rsidR="00761322" w:rsidRPr="00761322">
        <w:t>月</w:t>
      </w:r>
      <w:r w:rsidR="00761322" w:rsidRPr="00761322">
        <w:t>4</w:t>
      </w:r>
      <w:r w:rsidR="00761322" w:rsidRPr="00761322">
        <w:t>日</w:t>
      </w:r>
      <w:r>
        <w:rPr>
          <w:rFonts w:hint="eastAsia"/>
        </w:rPr>
        <w:t>；验收监测报告</w:t>
      </w:r>
      <w:r w:rsidR="00D51CB3">
        <w:rPr>
          <w:rFonts w:hint="eastAsia"/>
        </w:rPr>
        <w:t>表</w:t>
      </w:r>
      <w:r>
        <w:rPr>
          <w:rFonts w:hint="eastAsia"/>
        </w:rPr>
        <w:t>编制工作由中核第四研究设计工程有限公司承担，并签订了委托合同《</w:t>
      </w:r>
      <w:r w:rsidR="00761322" w:rsidRPr="00761322">
        <w:rPr>
          <w:rFonts w:hint="eastAsia"/>
        </w:rPr>
        <w:t>738</w:t>
      </w:r>
      <w:r w:rsidR="00761322" w:rsidRPr="00761322">
        <w:rPr>
          <w:rFonts w:hint="eastAsia"/>
        </w:rPr>
        <w:t>矿地浸采铀试验研究延续项目</w:t>
      </w:r>
      <w:r w:rsidRPr="00E32C38">
        <w:rPr>
          <w:rFonts w:hint="eastAsia"/>
        </w:rPr>
        <w:t>竣工环境保护验收技术服务合同</w:t>
      </w:r>
      <w:r>
        <w:rPr>
          <w:rFonts w:hint="eastAsia"/>
        </w:rPr>
        <w:t>》，明确了本项目竣工环境保护验收相关内容与责任。</w:t>
      </w:r>
    </w:p>
    <w:p w14:paraId="66501B98" w14:textId="77777777" w:rsidR="001E1894" w:rsidRPr="00610E33" w:rsidRDefault="00E32C38" w:rsidP="001F14D4">
      <w:pPr>
        <w:ind w:firstLine="560"/>
        <w:rPr>
          <w:highlight w:val="yellow"/>
        </w:rPr>
      </w:pPr>
      <w:r>
        <w:rPr>
          <w:rFonts w:hint="eastAsia"/>
        </w:rPr>
        <w:t>2</w:t>
      </w:r>
      <w:r>
        <w:t>02</w:t>
      </w:r>
      <w:r w:rsidR="00610E33">
        <w:t>4</w:t>
      </w:r>
      <w:r>
        <w:rPr>
          <w:rFonts w:hint="eastAsia"/>
        </w:rPr>
        <w:t>年</w:t>
      </w:r>
      <w:r w:rsidR="00610E33">
        <w:t>1</w:t>
      </w:r>
      <w:r>
        <w:rPr>
          <w:rFonts w:hint="eastAsia"/>
        </w:rPr>
        <w:t>月</w:t>
      </w:r>
      <w:r w:rsidR="00ED5464">
        <w:t>24</w:t>
      </w:r>
      <w:r>
        <w:rPr>
          <w:rFonts w:hint="eastAsia"/>
        </w:rPr>
        <w:t>日，</w:t>
      </w:r>
      <w:r w:rsidR="00D57E1F" w:rsidRPr="00D57E1F">
        <w:t>新疆中核</w:t>
      </w:r>
      <w:proofErr w:type="gramStart"/>
      <w:r w:rsidR="00D57E1F" w:rsidRPr="00D57E1F">
        <w:t>天山铀业有限公司</w:t>
      </w:r>
      <w:proofErr w:type="gramEnd"/>
      <w:r>
        <w:rPr>
          <w:rFonts w:hint="eastAsia"/>
        </w:rPr>
        <w:t>组织召开了</w:t>
      </w:r>
      <w:r w:rsidR="00F51417">
        <w:rPr>
          <w:rFonts w:hint="eastAsia"/>
        </w:rPr>
        <w:t>“</w:t>
      </w:r>
      <w:r w:rsidR="00610E33" w:rsidRPr="00610E33">
        <w:rPr>
          <w:rFonts w:hint="eastAsia"/>
        </w:rPr>
        <w:t>738</w:t>
      </w:r>
      <w:r w:rsidR="00610E33" w:rsidRPr="00610E33">
        <w:rPr>
          <w:rFonts w:hint="eastAsia"/>
        </w:rPr>
        <w:t>矿地浸采铀试验研究延续项目</w:t>
      </w:r>
      <w:r w:rsidR="00F51417" w:rsidRPr="00E32C38">
        <w:rPr>
          <w:rFonts w:hint="eastAsia"/>
        </w:rPr>
        <w:t>竣工环境保护验收</w:t>
      </w:r>
      <w:r w:rsidR="00F51417">
        <w:rPr>
          <w:rFonts w:hint="eastAsia"/>
        </w:rPr>
        <w:t>会”，成立了由建设单位（</w:t>
      </w:r>
      <w:r w:rsidR="00ED5464" w:rsidRPr="00D57E1F">
        <w:t>新疆中核</w:t>
      </w:r>
      <w:proofErr w:type="gramStart"/>
      <w:r w:rsidR="00ED5464" w:rsidRPr="00D57E1F">
        <w:t>天山</w:t>
      </w:r>
      <w:r w:rsidR="00ED5464" w:rsidRPr="00D57E1F">
        <w:lastRenderedPageBreak/>
        <w:t>铀业有限公司</w:t>
      </w:r>
      <w:proofErr w:type="gramEnd"/>
      <w:r w:rsidR="00F51417">
        <w:rPr>
          <w:rFonts w:hint="eastAsia"/>
        </w:rPr>
        <w:t>）、设计单位（</w:t>
      </w:r>
      <w:r w:rsidR="00ED5464" w:rsidRPr="00D57E1F">
        <w:t>新疆中核</w:t>
      </w:r>
      <w:proofErr w:type="gramStart"/>
      <w:r w:rsidR="00ED5464" w:rsidRPr="00D57E1F">
        <w:t>天山铀业有限公司</w:t>
      </w:r>
      <w:proofErr w:type="gramEnd"/>
      <w:r w:rsidR="00F51417">
        <w:rPr>
          <w:rFonts w:hint="eastAsia"/>
        </w:rPr>
        <w:t>）、验收监测报告</w:t>
      </w:r>
      <w:r w:rsidR="00D51CB3">
        <w:rPr>
          <w:rFonts w:hint="eastAsia"/>
        </w:rPr>
        <w:t>表</w:t>
      </w:r>
      <w:r w:rsidR="00F51417">
        <w:rPr>
          <w:rFonts w:hint="eastAsia"/>
        </w:rPr>
        <w:t>编制单位（中核第四研究设计工程有限公司）、验收监测单位（</w:t>
      </w:r>
      <w:r w:rsidR="00610E33" w:rsidRPr="00610E33">
        <w:t>核工业二一六大队检测研究院</w:t>
      </w:r>
      <w:r w:rsidR="00F51417">
        <w:rPr>
          <w:rFonts w:hint="eastAsia"/>
        </w:rPr>
        <w:t>）、环评单位（中核第四研究设计工程有限公司）等相关单位代表以及专业技术专家组成的验收工作组。验收组分别进行了首次会、现场勘查和末次会三个阶段验收工作，</w:t>
      </w:r>
      <w:r w:rsidR="00F51417" w:rsidRPr="00610E33">
        <w:rPr>
          <w:rFonts w:hint="eastAsia"/>
        </w:rPr>
        <w:t>工作照片详见图</w:t>
      </w:r>
      <w:r w:rsidR="00F51417" w:rsidRPr="00610E33">
        <w:rPr>
          <w:rFonts w:hint="eastAsia"/>
        </w:rPr>
        <w:t>1</w:t>
      </w:r>
      <w:r w:rsidR="00F51417" w:rsidRPr="00610E33">
        <w:rPr>
          <w:rFonts w:hint="eastAsia"/>
        </w:rPr>
        <w:t>。</w:t>
      </w:r>
    </w:p>
    <w:p w14:paraId="2A3F881D" w14:textId="77777777" w:rsidR="00DC2D80" w:rsidRPr="00DC2D80" w:rsidRDefault="00DC2D80" w:rsidP="00DC2D80">
      <w:pPr>
        <w:spacing w:afterLines="50" w:after="156" w:line="240" w:lineRule="auto"/>
        <w:ind w:firstLineChars="0" w:firstLine="0"/>
        <w:jc w:val="center"/>
      </w:pPr>
      <w:r w:rsidRPr="00DC2D80">
        <w:rPr>
          <w:noProof/>
        </w:rPr>
        <w:drawing>
          <wp:inline distT="0" distB="0" distL="0" distR="0" wp14:anchorId="537D59A2" wp14:editId="0AE4753F">
            <wp:extent cx="2880000" cy="2152800"/>
            <wp:effectExtent l="19050" t="19050" r="15875" b="1905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52800"/>
                    </a:xfrm>
                    <a:prstGeom prst="rect">
                      <a:avLst/>
                    </a:prstGeom>
                    <a:noFill/>
                    <a:ln>
                      <a:solidFill>
                        <a:schemeClr val="tx1"/>
                      </a:solidFill>
                    </a:ln>
                  </pic:spPr>
                </pic:pic>
              </a:graphicData>
            </a:graphic>
          </wp:inline>
        </w:drawing>
      </w:r>
      <w:r w:rsidRPr="00DC2D80">
        <w:rPr>
          <w:rFonts w:hint="eastAsia"/>
        </w:rPr>
        <w:t xml:space="preserve"> </w:t>
      </w:r>
      <w:r w:rsidRPr="00DC2D80">
        <w:rPr>
          <w:noProof/>
        </w:rPr>
        <w:drawing>
          <wp:inline distT="0" distB="0" distL="0" distR="0" wp14:anchorId="797299BF" wp14:editId="3C812681">
            <wp:extent cx="2880000" cy="2152800"/>
            <wp:effectExtent l="19050" t="19050" r="15875" b="1905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52800"/>
                    </a:xfrm>
                    <a:prstGeom prst="rect">
                      <a:avLst/>
                    </a:prstGeom>
                    <a:noFill/>
                    <a:ln>
                      <a:solidFill>
                        <a:schemeClr val="tx1"/>
                      </a:solidFill>
                    </a:ln>
                  </pic:spPr>
                </pic:pic>
              </a:graphicData>
            </a:graphic>
          </wp:inline>
        </w:drawing>
      </w:r>
    </w:p>
    <w:p w14:paraId="6255779B" w14:textId="77777777" w:rsidR="00DC2D80" w:rsidRPr="00DC2D80" w:rsidRDefault="00DC2D80" w:rsidP="00DC2D80">
      <w:pPr>
        <w:spacing w:line="240" w:lineRule="auto"/>
        <w:ind w:firstLineChars="0" w:firstLine="0"/>
        <w:jc w:val="center"/>
      </w:pPr>
      <w:r w:rsidRPr="00DC2D80">
        <w:rPr>
          <w:noProof/>
        </w:rPr>
        <w:drawing>
          <wp:inline distT="0" distB="0" distL="0" distR="0" wp14:anchorId="41AEEEEA" wp14:editId="6F106EDB">
            <wp:extent cx="2880000" cy="2152800"/>
            <wp:effectExtent l="19050" t="19050" r="15875" b="1905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152800"/>
                    </a:xfrm>
                    <a:prstGeom prst="rect">
                      <a:avLst/>
                    </a:prstGeom>
                    <a:noFill/>
                    <a:ln>
                      <a:solidFill>
                        <a:schemeClr val="tx1"/>
                      </a:solidFill>
                    </a:ln>
                  </pic:spPr>
                </pic:pic>
              </a:graphicData>
            </a:graphic>
          </wp:inline>
        </w:drawing>
      </w:r>
      <w:r w:rsidRPr="00DC2D80">
        <w:rPr>
          <w:rFonts w:hint="eastAsia"/>
        </w:rPr>
        <w:t xml:space="preserve"> </w:t>
      </w:r>
      <w:r w:rsidRPr="00DC2D80">
        <w:rPr>
          <w:rFonts w:hint="eastAsia"/>
          <w:noProof/>
        </w:rPr>
        <w:drawing>
          <wp:inline distT="0" distB="0" distL="0" distR="0" wp14:anchorId="6479BE51" wp14:editId="2D8725E2">
            <wp:extent cx="2880000" cy="2152800"/>
            <wp:effectExtent l="19050" t="19050" r="15875" b="1905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152800"/>
                    </a:xfrm>
                    <a:prstGeom prst="rect">
                      <a:avLst/>
                    </a:prstGeom>
                    <a:noFill/>
                    <a:ln>
                      <a:solidFill>
                        <a:schemeClr val="tx1"/>
                      </a:solidFill>
                    </a:ln>
                  </pic:spPr>
                </pic:pic>
              </a:graphicData>
            </a:graphic>
          </wp:inline>
        </w:drawing>
      </w:r>
    </w:p>
    <w:p w14:paraId="03DA628F" w14:textId="77777777" w:rsidR="00F51417" w:rsidRDefault="00F51417" w:rsidP="00F51417">
      <w:pPr>
        <w:ind w:firstLineChars="0" w:firstLine="0"/>
        <w:jc w:val="center"/>
      </w:pPr>
      <w:r w:rsidRPr="00DC2D80">
        <w:rPr>
          <w:rFonts w:hint="eastAsia"/>
        </w:rPr>
        <w:t>图</w:t>
      </w:r>
      <w:r w:rsidRPr="00DC2D80">
        <w:rPr>
          <w:rFonts w:hint="eastAsia"/>
        </w:rPr>
        <w:t>1</w:t>
      </w:r>
      <w:r w:rsidRPr="00DC2D80">
        <w:t xml:space="preserve">  </w:t>
      </w:r>
      <w:r w:rsidRPr="00DC2D80">
        <w:rPr>
          <w:rFonts w:hint="eastAsia"/>
        </w:rPr>
        <w:t>现场验收工作照片</w:t>
      </w:r>
    </w:p>
    <w:p w14:paraId="6C03B4FB" w14:textId="77777777" w:rsidR="00F51417" w:rsidRPr="00F51417" w:rsidRDefault="00F51417" w:rsidP="001F14D4">
      <w:pPr>
        <w:ind w:firstLine="560"/>
      </w:pPr>
      <w:r>
        <w:rPr>
          <w:rFonts w:hint="eastAsia"/>
        </w:rPr>
        <w:t>验收组现场查阅并核实了该项目建设施工期及调试期间环保工作落实情况，跟《建设项目竣工环境保护验收暂行办法》（国环规环评（</w:t>
      </w:r>
      <w:r>
        <w:rPr>
          <w:rFonts w:hint="eastAsia"/>
        </w:rPr>
        <w:t>2</w:t>
      </w:r>
      <w:r>
        <w:t>017</w:t>
      </w:r>
      <w:r>
        <w:rPr>
          <w:rFonts w:hint="eastAsia"/>
        </w:rPr>
        <w:t>）</w:t>
      </w:r>
      <w:r>
        <w:rPr>
          <w:rFonts w:hint="eastAsia"/>
        </w:rPr>
        <w:t>4</w:t>
      </w:r>
      <w:r>
        <w:rPr>
          <w:rFonts w:hint="eastAsia"/>
        </w:rPr>
        <w:t>号）要求，经认证讨论形成以下验收意见：</w:t>
      </w:r>
    </w:p>
    <w:p w14:paraId="6542E164" w14:textId="77777777" w:rsidR="001E1894" w:rsidRDefault="00F51417" w:rsidP="001F14D4">
      <w:pPr>
        <w:ind w:firstLine="560"/>
      </w:pPr>
      <w:r>
        <w:rPr>
          <w:rFonts w:hint="eastAsia"/>
          <w:szCs w:val="28"/>
        </w:rPr>
        <w:t>本项目在实施过程中按照环</w:t>
      </w:r>
      <w:proofErr w:type="gramStart"/>
      <w:r>
        <w:rPr>
          <w:rFonts w:hint="eastAsia"/>
          <w:szCs w:val="28"/>
        </w:rPr>
        <w:t>评文件</w:t>
      </w:r>
      <w:proofErr w:type="gramEnd"/>
      <w:r>
        <w:rPr>
          <w:rFonts w:hint="eastAsia"/>
          <w:szCs w:val="28"/>
        </w:rPr>
        <w:t>和“三同时”的要求，建设了相应的环境保护设施，落实了相应的环境保护措施；根据《</w:t>
      </w:r>
      <w:r w:rsidR="00610E33" w:rsidRPr="00610E33">
        <w:rPr>
          <w:rFonts w:hint="eastAsia"/>
          <w:szCs w:val="28"/>
        </w:rPr>
        <w:t>738</w:t>
      </w:r>
      <w:r w:rsidR="00610E33" w:rsidRPr="00610E33">
        <w:rPr>
          <w:rFonts w:hint="eastAsia"/>
          <w:szCs w:val="28"/>
        </w:rPr>
        <w:t>矿地浸采铀试验研究延续项目</w:t>
      </w:r>
      <w:r>
        <w:rPr>
          <w:rFonts w:hint="eastAsia"/>
          <w:szCs w:val="28"/>
        </w:rPr>
        <w:t>竣工环境保护验收监测报告表</w:t>
      </w:r>
      <w:r>
        <w:rPr>
          <w:szCs w:val="28"/>
        </w:rPr>
        <w:t>》</w:t>
      </w:r>
      <w:r>
        <w:rPr>
          <w:rFonts w:hint="eastAsia"/>
          <w:szCs w:val="28"/>
        </w:rPr>
        <w:t>，本项目“三废”排放均符合国家排放标准，项目未发生重大变动。验收工作组一致同意本项目竣工环境保护验收合格。</w:t>
      </w:r>
    </w:p>
    <w:p w14:paraId="51CD9BDC" w14:textId="34C4232E" w:rsidR="00F51417" w:rsidRDefault="00F51417" w:rsidP="001F14D4">
      <w:pPr>
        <w:ind w:firstLine="560"/>
      </w:pPr>
      <w:r>
        <w:rPr>
          <w:rFonts w:hint="eastAsia"/>
        </w:rPr>
        <w:lastRenderedPageBreak/>
        <w:t>会后，验收监测报告</w:t>
      </w:r>
      <w:r w:rsidR="00D51CB3">
        <w:rPr>
          <w:rFonts w:hint="eastAsia"/>
        </w:rPr>
        <w:t>表</w:t>
      </w:r>
      <w:r>
        <w:rPr>
          <w:rFonts w:hint="eastAsia"/>
        </w:rPr>
        <w:t>编制单位（中核第四研究设计工程有限公司）对</w:t>
      </w:r>
      <w:r>
        <w:rPr>
          <w:rFonts w:hint="eastAsia"/>
          <w:szCs w:val="28"/>
        </w:rPr>
        <w:t>《</w:t>
      </w:r>
      <w:r w:rsidR="00610E33" w:rsidRPr="00610E33">
        <w:rPr>
          <w:rFonts w:hint="eastAsia"/>
          <w:szCs w:val="28"/>
        </w:rPr>
        <w:t>738</w:t>
      </w:r>
      <w:r w:rsidR="00610E33" w:rsidRPr="00610E33">
        <w:rPr>
          <w:rFonts w:hint="eastAsia"/>
          <w:szCs w:val="28"/>
        </w:rPr>
        <w:t>矿地浸采铀</w:t>
      </w:r>
      <w:r w:rsidR="00610E33" w:rsidRPr="00ED5464">
        <w:rPr>
          <w:rFonts w:hint="eastAsia"/>
          <w:szCs w:val="28"/>
        </w:rPr>
        <w:t>试验研究延续项目</w:t>
      </w:r>
      <w:r w:rsidRPr="00ED5464">
        <w:rPr>
          <w:rFonts w:hint="eastAsia"/>
          <w:szCs w:val="28"/>
        </w:rPr>
        <w:t>竣工环境保护验收监测报告表</w:t>
      </w:r>
      <w:r w:rsidRPr="00ED5464">
        <w:rPr>
          <w:szCs w:val="28"/>
        </w:rPr>
        <w:t>》</w:t>
      </w:r>
      <w:r w:rsidRPr="00ED5464">
        <w:rPr>
          <w:rFonts w:hint="eastAsia"/>
          <w:szCs w:val="28"/>
        </w:rPr>
        <w:t>进行了修改完善，并于</w:t>
      </w:r>
      <w:r w:rsidRPr="0036241C">
        <w:rPr>
          <w:rFonts w:hint="eastAsia"/>
          <w:szCs w:val="28"/>
        </w:rPr>
        <w:t>2</w:t>
      </w:r>
      <w:r w:rsidRPr="0036241C">
        <w:rPr>
          <w:szCs w:val="28"/>
        </w:rPr>
        <w:t>02</w:t>
      </w:r>
      <w:r w:rsidR="00610E33" w:rsidRPr="0036241C">
        <w:rPr>
          <w:szCs w:val="28"/>
        </w:rPr>
        <w:t>4</w:t>
      </w:r>
      <w:r w:rsidRPr="0036241C">
        <w:rPr>
          <w:rFonts w:hint="eastAsia"/>
          <w:szCs w:val="28"/>
        </w:rPr>
        <w:t>年</w:t>
      </w:r>
      <w:r w:rsidR="00DC2D80" w:rsidRPr="0036241C">
        <w:rPr>
          <w:szCs w:val="28"/>
        </w:rPr>
        <w:t>2</w:t>
      </w:r>
      <w:r w:rsidRPr="0036241C">
        <w:rPr>
          <w:rFonts w:hint="eastAsia"/>
          <w:szCs w:val="28"/>
        </w:rPr>
        <w:t>月</w:t>
      </w:r>
      <w:r w:rsidR="0036241C" w:rsidRPr="0036241C">
        <w:rPr>
          <w:szCs w:val="28"/>
        </w:rPr>
        <w:t>21</w:t>
      </w:r>
      <w:r w:rsidRPr="0036241C">
        <w:rPr>
          <w:rFonts w:hint="eastAsia"/>
          <w:szCs w:val="28"/>
        </w:rPr>
        <w:t>日完成</w:t>
      </w:r>
      <w:proofErr w:type="gramStart"/>
      <w:r w:rsidRPr="0036241C">
        <w:rPr>
          <w:rFonts w:hint="eastAsia"/>
          <w:szCs w:val="28"/>
        </w:rPr>
        <w:t>最终版</w:t>
      </w:r>
      <w:proofErr w:type="gramEnd"/>
      <w:r>
        <w:rPr>
          <w:rFonts w:hint="eastAsia"/>
          <w:szCs w:val="28"/>
        </w:rPr>
        <w:t>验收监测报告表。</w:t>
      </w:r>
    </w:p>
    <w:p w14:paraId="57E11B4A" w14:textId="77777777" w:rsidR="00EB13E9" w:rsidRPr="001F14D4" w:rsidRDefault="00EB13E9" w:rsidP="001F14D4">
      <w:pPr>
        <w:pStyle w:val="2"/>
      </w:pPr>
      <w:r w:rsidRPr="001F14D4">
        <w:rPr>
          <w:rFonts w:hint="eastAsia"/>
        </w:rPr>
        <w:t>1.4</w:t>
      </w:r>
      <w:r w:rsidRPr="001F14D4">
        <w:rPr>
          <w:rFonts w:hint="eastAsia"/>
        </w:rPr>
        <w:t>公众反馈意见及处理情况</w:t>
      </w:r>
    </w:p>
    <w:p w14:paraId="71E0D3F3" w14:textId="77777777" w:rsidR="00EB13E9" w:rsidRPr="00A309CD" w:rsidRDefault="006C1A66" w:rsidP="001F14D4">
      <w:pPr>
        <w:ind w:firstLine="560"/>
      </w:pPr>
      <w:r>
        <w:rPr>
          <w:rFonts w:hint="eastAsia"/>
        </w:rPr>
        <w:t>本</w:t>
      </w:r>
      <w:r w:rsidR="00EB13E9" w:rsidRPr="00A309CD">
        <w:rPr>
          <w:rFonts w:hint="eastAsia"/>
        </w:rPr>
        <w:t>项目设计、施工和验收期间</w:t>
      </w:r>
      <w:r>
        <w:rPr>
          <w:rFonts w:hint="eastAsia"/>
        </w:rPr>
        <w:t>未</w:t>
      </w:r>
      <w:r w:rsidR="00EB13E9" w:rsidRPr="00A309CD">
        <w:rPr>
          <w:rFonts w:hint="eastAsia"/>
        </w:rPr>
        <w:t>收到过公众反馈意见或投诉。</w:t>
      </w:r>
    </w:p>
    <w:p w14:paraId="59300AF6" w14:textId="77777777" w:rsidR="00EB13E9" w:rsidRPr="00EB13E9" w:rsidRDefault="00EB13E9" w:rsidP="00EB13E9">
      <w:pPr>
        <w:pStyle w:val="1"/>
      </w:pPr>
      <w:r w:rsidRPr="00EB13E9">
        <w:rPr>
          <w:rFonts w:hint="eastAsia"/>
        </w:rPr>
        <w:t>2</w:t>
      </w:r>
      <w:r w:rsidRPr="00EB13E9">
        <w:rPr>
          <w:rFonts w:hint="eastAsia"/>
        </w:rPr>
        <w:t>其他环境保护措施的落实情况</w:t>
      </w:r>
    </w:p>
    <w:p w14:paraId="2321589C" w14:textId="77777777" w:rsidR="00EB13E9" w:rsidRPr="001F14D4" w:rsidRDefault="00EB13E9" w:rsidP="001F14D4">
      <w:pPr>
        <w:pStyle w:val="2"/>
      </w:pPr>
      <w:r w:rsidRPr="001F14D4">
        <w:rPr>
          <w:rFonts w:hint="eastAsia"/>
        </w:rPr>
        <w:t>2.1</w:t>
      </w:r>
      <w:r w:rsidRPr="001F14D4">
        <w:rPr>
          <w:rFonts w:hint="eastAsia"/>
        </w:rPr>
        <w:t>制度措施落实情况</w:t>
      </w:r>
    </w:p>
    <w:p w14:paraId="515118F6" w14:textId="77777777" w:rsidR="00EB13E9" w:rsidRPr="00A309CD" w:rsidRDefault="00EB13E9" w:rsidP="001F14D4">
      <w:pPr>
        <w:ind w:firstLine="560"/>
      </w:pPr>
      <w:r w:rsidRPr="00A309CD">
        <w:rPr>
          <w:rFonts w:hint="eastAsia"/>
        </w:rPr>
        <w:t>（</w:t>
      </w:r>
      <w:r w:rsidRPr="00A309CD">
        <w:rPr>
          <w:rFonts w:hint="eastAsia"/>
        </w:rPr>
        <w:t>1</w:t>
      </w:r>
      <w:r w:rsidRPr="00A309CD">
        <w:rPr>
          <w:rFonts w:hint="eastAsia"/>
        </w:rPr>
        <w:t>）环保组织机构及规章制度</w:t>
      </w:r>
    </w:p>
    <w:p w14:paraId="2F37695D" w14:textId="77777777" w:rsidR="009D5E84" w:rsidRDefault="006D0044" w:rsidP="001F14D4">
      <w:pPr>
        <w:ind w:firstLine="560"/>
      </w:pPr>
      <w:proofErr w:type="gramStart"/>
      <w:r w:rsidRPr="006D0044">
        <w:t>天山铀业</w:t>
      </w:r>
      <w:r w:rsidR="001E1894">
        <w:rPr>
          <w:rFonts w:hint="eastAsia"/>
        </w:rPr>
        <w:t>建立</w:t>
      </w:r>
      <w:proofErr w:type="gramEnd"/>
      <w:r w:rsidR="001E1894">
        <w:rPr>
          <w:rFonts w:hint="eastAsia"/>
        </w:rPr>
        <w:t>了环境保护领导小组，负责环境保护和污染治理管理工作，并且印发了《环境保护管理办法（版次</w:t>
      </w:r>
      <w:r>
        <w:t>3</w:t>
      </w:r>
      <w:r w:rsidR="001E1894">
        <w:rPr>
          <w:rFonts w:hint="eastAsia"/>
        </w:rPr>
        <w:t>）》，明确了成员的职责分工。同时，为</w:t>
      </w:r>
      <w:r w:rsidR="008614AC">
        <w:rPr>
          <w:rFonts w:hint="eastAsia"/>
        </w:rPr>
        <w:t>保障环境保护措施落实到位，制定了《</w:t>
      </w:r>
      <w:r w:rsidR="00ED5464" w:rsidRPr="00ED5464">
        <w:rPr>
          <w:rFonts w:hint="eastAsia"/>
        </w:rPr>
        <w:t>流出物及辐射环境监测设备管理办法</w:t>
      </w:r>
      <w:r w:rsidR="008614AC">
        <w:rPr>
          <w:rFonts w:hint="eastAsia"/>
        </w:rPr>
        <w:t>（版次</w:t>
      </w:r>
      <w:r>
        <w:t>3</w:t>
      </w:r>
      <w:r w:rsidR="008614AC">
        <w:rPr>
          <w:rFonts w:hint="eastAsia"/>
        </w:rPr>
        <w:t>）》、</w:t>
      </w:r>
      <w:r w:rsidR="00ED5464">
        <w:rPr>
          <w:rFonts w:hint="eastAsia"/>
        </w:rPr>
        <w:t>《</w:t>
      </w:r>
      <w:r w:rsidR="00ED5464" w:rsidRPr="00ED5464">
        <w:rPr>
          <w:rFonts w:hint="eastAsia"/>
        </w:rPr>
        <w:t>辐射环境监测管理办法</w:t>
      </w:r>
      <w:r w:rsidR="00ED5464">
        <w:rPr>
          <w:rFonts w:hint="eastAsia"/>
        </w:rPr>
        <w:t>（版次</w:t>
      </w:r>
      <w:r w:rsidR="00ED5464">
        <w:t>3</w:t>
      </w:r>
      <w:r w:rsidR="00ED5464">
        <w:rPr>
          <w:rFonts w:hint="eastAsia"/>
        </w:rPr>
        <w:t>）》</w:t>
      </w:r>
      <w:r w:rsidR="00136006" w:rsidRPr="00136006">
        <w:rPr>
          <w:rFonts w:hint="eastAsia"/>
        </w:rPr>
        <w:t>《</w:t>
      </w:r>
      <w:r w:rsidR="00ED5464" w:rsidRPr="00ED5464">
        <w:rPr>
          <w:rFonts w:hint="eastAsia"/>
        </w:rPr>
        <w:t>地浸采铀矿山监测井布置及监测管理办法</w:t>
      </w:r>
      <w:r w:rsidR="00136006" w:rsidRPr="00136006">
        <w:rPr>
          <w:rFonts w:hint="eastAsia"/>
        </w:rPr>
        <w:t>（版次</w:t>
      </w:r>
      <w:r w:rsidR="00136006" w:rsidRPr="00136006">
        <w:t>3</w:t>
      </w:r>
      <w:r w:rsidR="00136006" w:rsidRPr="00136006">
        <w:rPr>
          <w:rFonts w:hint="eastAsia"/>
        </w:rPr>
        <w:t>）》</w:t>
      </w:r>
      <w:r w:rsidR="00136006">
        <w:rPr>
          <w:rFonts w:hint="eastAsia"/>
        </w:rPr>
        <w:t>、</w:t>
      </w:r>
      <w:r w:rsidR="008614AC">
        <w:rPr>
          <w:rFonts w:hint="eastAsia"/>
        </w:rPr>
        <w:t>《“三废”管理办法</w:t>
      </w:r>
      <w:r>
        <w:rPr>
          <w:rFonts w:hint="eastAsia"/>
        </w:rPr>
        <w:t>（版次</w:t>
      </w:r>
      <w:r>
        <w:rPr>
          <w:rFonts w:hint="eastAsia"/>
        </w:rPr>
        <w:t>3</w:t>
      </w:r>
      <w:r>
        <w:rPr>
          <w:rFonts w:hint="eastAsia"/>
        </w:rPr>
        <w:t>）</w:t>
      </w:r>
      <w:r w:rsidR="008614AC">
        <w:rPr>
          <w:rFonts w:hint="eastAsia"/>
        </w:rPr>
        <w:t>》等规章制度。</w:t>
      </w:r>
    </w:p>
    <w:p w14:paraId="7BD1E003" w14:textId="77777777" w:rsidR="00EB13E9" w:rsidRPr="00A309CD" w:rsidRDefault="00EB13E9" w:rsidP="001F14D4">
      <w:pPr>
        <w:ind w:firstLine="560"/>
      </w:pPr>
      <w:r w:rsidRPr="00A309CD">
        <w:rPr>
          <w:rFonts w:hint="eastAsia"/>
        </w:rPr>
        <w:t>（</w:t>
      </w:r>
      <w:r w:rsidRPr="00A309CD">
        <w:rPr>
          <w:rFonts w:hint="eastAsia"/>
        </w:rPr>
        <w:t>2</w:t>
      </w:r>
      <w:r w:rsidRPr="00A309CD">
        <w:rPr>
          <w:rFonts w:hint="eastAsia"/>
        </w:rPr>
        <w:t>）环境风险防范措施</w:t>
      </w:r>
    </w:p>
    <w:p w14:paraId="3D8BBB04" w14:textId="77777777" w:rsidR="006773A5" w:rsidRDefault="000B3715" w:rsidP="001F14D4">
      <w:pPr>
        <w:ind w:firstLine="560"/>
      </w:pPr>
      <w:proofErr w:type="gramStart"/>
      <w:r w:rsidRPr="000B3715">
        <w:t>天山铀业</w:t>
      </w:r>
      <w:r w:rsidR="00136006">
        <w:rPr>
          <w:rFonts w:hint="eastAsia"/>
        </w:rPr>
        <w:t>制定</w:t>
      </w:r>
      <w:proofErr w:type="gramEnd"/>
      <w:r w:rsidR="00136006">
        <w:rPr>
          <w:rFonts w:hint="eastAsia"/>
        </w:rPr>
        <w:t>了</w:t>
      </w:r>
      <w:r w:rsidR="008614AC">
        <w:rPr>
          <w:rFonts w:hint="eastAsia"/>
        </w:rPr>
        <w:t>《</w:t>
      </w:r>
      <w:r w:rsidR="00610E33" w:rsidRPr="00A64097">
        <w:rPr>
          <w:rFonts w:hint="eastAsia"/>
          <w:szCs w:val="28"/>
        </w:rPr>
        <w:t>辐射环境事故应急预案</w:t>
      </w:r>
      <w:r w:rsidR="00ED5464">
        <w:rPr>
          <w:rFonts w:hint="eastAsia"/>
          <w:szCs w:val="28"/>
        </w:rPr>
        <w:t>（版次</w:t>
      </w:r>
      <w:r w:rsidR="00ED5464">
        <w:rPr>
          <w:rFonts w:hint="eastAsia"/>
          <w:szCs w:val="28"/>
        </w:rPr>
        <w:t>2</w:t>
      </w:r>
      <w:r w:rsidR="00ED5464">
        <w:rPr>
          <w:rFonts w:hint="eastAsia"/>
          <w:szCs w:val="28"/>
        </w:rPr>
        <w:t>）</w:t>
      </w:r>
      <w:r w:rsidR="008614AC">
        <w:rPr>
          <w:rFonts w:hint="eastAsia"/>
        </w:rPr>
        <w:t>》，该预案已向</w:t>
      </w:r>
      <w:r w:rsidR="00610E33" w:rsidRPr="00610E33">
        <w:rPr>
          <w:rFonts w:hint="eastAsia"/>
        </w:rPr>
        <w:t>察布查尔锡伯自治县应急管理局</w:t>
      </w:r>
      <w:r w:rsidR="00610E33" w:rsidRPr="00610E33">
        <w:t>进行了备案</w:t>
      </w:r>
      <w:r w:rsidR="008614AC">
        <w:rPr>
          <w:rFonts w:hint="eastAsia"/>
        </w:rPr>
        <w:t>。该应急预案包括了组织机构及职责、信息报告及预警、应急响应与应急处置措施、后期处置、保障措施和监督管理</w:t>
      </w:r>
      <w:r w:rsidR="00975BDC">
        <w:rPr>
          <w:rFonts w:hint="eastAsia"/>
        </w:rPr>
        <w:t>等内容，明确了</w:t>
      </w:r>
      <w:r w:rsidR="00975BDC" w:rsidRPr="00A309CD">
        <w:rPr>
          <w:rFonts w:hint="eastAsia"/>
        </w:rPr>
        <w:t>应急联动</w:t>
      </w:r>
      <w:r w:rsidR="00975BDC">
        <w:rPr>
          <w:rFonts w:hint="eastAsia"/>
        </w:rPr>
        <w:t>程序</w:t>
      </w:r>
      <w:r w:rsidR="00975BDC" w:rsidRPr="006773A5">
        <w:rPr>
          <w:rFonts w:hint="eastAsia"/>
        </w:rPr>
        <w:t>，并定期进行</w:t>
      </w:r>
      <w:r w:rsidR="00A41172" w:rsidRPr="006773A5">
        <w:rPr>
          <w:rFonts w:hint="eastAsia"/>
        </w:rPr>
        <w:t>了</w:t>
      </w:r>
      <w:r w:rsidR="00975BDC" w:rsidRPr="006773A5">
        <w:rPr>
          <w:rFonts w:hint="eastAsia"/>
        </w:rPr>
        <w:t>演练。</w:t>
      </w:r>
    </w:p>
    <w:p w14:paraId="34925FE5" w14:textId="77777777" w:rsidR="00EB13E9" w:rsidRPr="00A309CD" w:rsidRDefault="00EB13E9" w:rsidP="001F14D4">
      <w:pPr>
        <w:ind w:firstLine="560"/>
      </w:pPr>
      <w:r w:rsidRPr="00A309CD">
        <w:rPr>
          <w:rFonts w:hint="eastAsia"/>
        </w:rPr>
        <w:t>（</w:t>
      </w:r>
      <w:r w:rsidRPr="00A309CD">
        <w:rPr>
          <w:rFonts w:hint="eastAsia"/>
        </w:rPr>
        <w:t>3</w:t>
      </w:r>
      <w:r w:rsidRPr="00A309CD">
        <w:rPr>
          <w:rFonts w:hint="eastAsia"/>
        </w:rPr>
        <w:t>）环境监测计划</w:t>
      </w:r>
    </w:p>
    <w:p w14:paraId="6E75AD0E" w14:textId="77777777" w:rsidR="00A41172" w:rsidRPr="00A41172" w:rsidRDefault="00610E33" w:rsidP="00A41172">
      <w:pPr>
        <w:ind w:firstLine="560"/>
      </w:pPr>
      <w:r w:rsidRPr="00610E33">
        <w:t>天山铀业</w:t>
      </w:r>
      <w:r w:rsidR="00EB13E9" w:rsidRPr="00A309CD">
        <w:rPr>
          <w:rFonts w:hint="eastAsia"/>
        </w:rPr>
        <w:t>按照</w:t>
      </w:r>
      <w:r w:rsidR="00A41172">
        <w:rPr>
          <w:rFonts w:hint="eastAsia"/>
        </w:rPr>
        <w:t>本项目环境影响报告表</w:t>
      </w:r>
      <w:r w:rsidR="00EB13E9" w:rsidRPr="00A309CD">
        <w:rPr>
          <w:rFonts w:hint="eastAsia"/>
        </w:rPr>
        <w:t>及其审批部门审批决定要求制定了</w:t>
      </w:r>
      <w:r w:rsidR="00A41172">
        <w:rPr>
          <w:rFonts w:hint="eastAsia"/>
        </w:rPr>
        <w:t>运行期</w:t>
      </w:r>
      <w:r w:rsidR="00EB13E9" w:rsidRPr="00A309CD">
        <w:rPr>
          <w:rFonts w:hint="eastAsia"/>
        </w:rPr>
        <w:t>环境监测计划，</w:t>
      </w:r>
      <w:r w:rsidR="00A41172">
        <w:rPr>
          <w:rFonts w:hint="eastAsia"/>
        </w:rPr>
        <w:t>见表</w:t>
      </w:r>
      <w:r w:rsidR="006773A5">
        <w:t>1</w:t>
      </w:r>
      <w:r w:rsidR="00A41172">
        <w:rPr>
          <w:rFonts w:hint="eastAsia"/>
        </w:rPr>
        <w:t>。本项目施工期组织开展了空气、</w:t>
      </w:r>
      <w:r w:rsidR="00007457" w:rsidRPr="00007457">
        <w:t>γ</w:t>
      </w:r>
      <w:r w:rsidR="00007457" w:rsidRPr="00007457">
        <w:t>辐射剂量率</w:t>
      </w:r>
      <w:r w:rsidR="00A41172">
        <w:rPr>
          <w:rFonts w:hint="eastAsia"/>
        </w:rPr>
        <w:t>和地下水监测。运行期将按照监测计划，组织开展自主资质或委托有相关资质的单位进行监测。</w:t>
      </w:r>
    </w:p>
    <w:p w14:paraId="337CDC43" w14:textId="77777777" w:rsidR="00DC2D80" w:rsidRDefault="00DC2D80" w:rsidP="00A41172">
      <w:pPr>
        <w:ind w:firstLineChars="0" w:firstLine="0"/>
        <w:jc w:val="center"/>
      </w:pPr>
    </w:p>
    <w:p w14:paraId="581AB8A6" w14:textId="77777777" w:rsidR="00DC2D80" w:rsidRDefault="00DC2D80" w:rsidP="00A41172">
      <w:pPr>
        <w:ind w:firstLineChars="0" w:firstLine="0"/>
        <w:jc w:val="center"/>
      </w:pPr>
    </w:p>
    <w:p w14:paraId="142AAEFE" w14:textId="77777777" w:rsidR="00DC2D80" w:rsidRDefault="00DC2D80" w:rsidP="00A41172">
      <w:pPr>
        <w:ind w:firstLineChars="0" w:firstLine="0"/>
        <w:jc w:val="center"/>
      </w:pPr>
    </w:p>
    <w:p w14:paraId="44881553" w14:textId="77777777" w:rsidR="00DC2D80" w:rsidRDefault="00DC2D80" w:rsidP="00A41172">
      <w:pPr>
        <w:ind w:firstLineChars="0" w:firstLine="0"/>
        <w:jc w:val="center"/>
      </w:pPr>
    </w:p>
    <w:p w14:paraId="33A6DCD5" w14:textId="77777777" w:rsidR="00DC2D80" w:rsidRDefault="00DC2D80" w:rsidP="00A41172">
      <w:pPr>
        <w:ind w:firstLineChars="0" w:firstLine="0"/>
        <w:jc w:val="center"/>
      </w:pPr>
    </w:p>
    <w:p w14:paraId="23729C64" w14:textId="77777777" w:rsidR="00A41172" w:rsidRDefault="00A41172" w:rsidP="00A41172">
      <w:pPr>
        <w:ind w:firstLineChars="0" w:firstLine="0"/>
        <w:jc w:val="center"/>
      </w:pPr>
      <w:r w:rsidRPr="00A41172">
        <w:lastRenderedPageBreak/>
        <w:t>表</w:t>
      </w:r>
      <w:r w:rsidR="006773A5">
        <w:t>1</w:t>
      </w:r>
      <w:r w:rsidRPr="00A41172">
        <w:t xml:space="preserve">   </w:t>
      </w:r>
      <w:r w:rsidRPr="00A41172">
        <w:rPr>
          <w:rFonts w:hint="eastAsia"/>
        </w:rPr>
        <w:t>试验运行期</w:t>
      </w:r>
      <w:r w:rsidRPr="00A41172">
        <w:t>环境监测计划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57"/>
        <w:gridCol w:w="4278"/>
        <w:gridCol w:w="738"/>
        <w:gridCol w:w="2362"/>
        <w:gridCol w:w="861"/>
      </w:tblGrid>
      <w:tr w:rsidR="00610E33" w:rsidRPr="00610E33" w14:paraId="3EA40DBF" w14:textId="77777777" w:rsidTr="00387759">
        <w:trPr>
          <w:trHeight w:val="397"/>
          <w:jc w:val="center"/>
        </w:trPr>
        <w:tc>
          <w:tcPr>
            <w:tcW w:w="380" w:type="pct"/>
            <w:tcBorders>
              <w:top w:val="single" w:sz="4" w:space="0" w:color="auto"/>
              <w:left w:val="single" w:sz="4" w:space="0" w:color="auto"/>
              <w:bottom w:val="single" w:sz="4" w:space="0" w:color="auto"/>
              <w:right w:val="single" w:sz="4" w:space="0" w:color="auto"/>
            </w:tcBorders>
            <w:vAlign w:val="center"/>
          </w:tcPr>
          <w:p w14:paraId="7EE666F7"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序号</w:t>
            </w:r>
          </w:p>
        </w:tc>
        <w:tc>
          <w:tcPr>
            <w:tcW w:w="389" w:type="pct"/>
            <w:tcBorders>
              <w:top w:val="single" w:sz="4" w:space="0" w:color="auto"/>
              <w:left w:val="single" w:sz="4" w:space="0" w:color="auto"/>
              <w:bottom w:val="single" w:sz="4" w:space="0" w:color="auto"/>
              <w:right w:val="single" w:sz="4" w:space="0" w:color="auto"/>
            </w:tcBorders>
            <w:vAlign w:val="center"/>
          </w:tcPr>
          <w:p w14:paraId="68090C3C"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介质</w:t>
            </w:r>
          </w:p>
        </w:tc>
        <w:tc>
          <w:tcPr>
            <w:tcW w:w="2197" w:type="pct"/>
            <w:tcBorders>
              <w:top w:val="single" w:sz="4" w:space="0" w:color="auto"/>
              <w:left w:val="single" w:sz="4" w:space="0" w:color="auto"/>
              <w:bottom w:val="single" w:sz="4" w:space="0" w:color="auto"/>
              <w:right w:val="single" w:sz="4" w:space="0" w:color="auto"/>
            </w:tcBorders>
            <w:vAlign w:val="center"/>
          </w:tcPr>
          <w:p w14:paraId="3E275966"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监测位置</w:t>
            </w:r>
          </w:p>
        </w:tc>
        <w:tc>
          <w:tcPr>
            <w:tcW w:w="379" w:type="pct"/>
            <w:tcBorders>
              <w:top w:val="single" w:sz="4" w:space="0" w:color="auto"/>
              <w:left w:val="single" w:sz="4" w:space="0" w:color="auto"/>
              <w:bottom w:val="single" w:sz="4" w:space="0" w:color="auto"/>
              <w:right w:val="single" w:sz="4" w:space="0" w:color="auto"/>
            </w:tcBorders>
          </w:tcPr>
          <w:p w14:paraId="069D84B6"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数量</w:t>
            </w:r>
          </w:p>
        </w:tc>
        <w:tc>
          <w:tcPr>
            <w:tcW w:w="1213" w:type="pct"/>
            <w:tcBorders>
              <w:top w:val="single" w:sz="4" w:space="0" w:color="auto"/>
              <w:left w:val="single" w:sz="4" w:space="0" w:color="auto"/>
              <w:bottom w:val="single" w:sz="4" w:space="0" w:color="auto"/>
              <w:right w:val="single" w:sz="4" w:space="0" w:color="auto"/>
            </w:tcBorders>
            <w:vAlign w:val="center"/>
          </w:tcPr>
          <w:p w14:paraId="63F8E7BF"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监测项目</w:t>
            </w:r>
          </w:p>
        </w:tc>
        <w:tc>
          <w:tcPr>
            <w:tcW w:w="442" w:type="pct"/>
            <w:tcBorders>
              <w:top w:val="single" w:sz="4" w:space="0" w:color="auto"/>
              <w:left w:val="single" w:sz="4" w:space="0" w:color="auto"/>
              <w:bottom w:val="single" w:sz="4" w:space="0" w:color="auto"/>
              <w:right w:val="single" w:sz="4" w:space="0" w:color="auto"/>
            </w:tcBorders>
            <w:vAlign w:val="center"/>
          </w:tcPr>
          <w:p w14:paraId="5EDF7BFA"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频次</w:t>
            </w:r>
          </w:p>
        </w:tc>
      </w:tr>
      <w:tr w:rsidR="00610E33" w:rsidRPr="00610E33" w14:paraId="6FDEE7B3" w14:textId="77777777" w:rsidTr="00387759">
        <w:trPr>
          <w:trHeight w:val="397"/>
          <w:jc w:val="center"/>
        </w:trPr>
        <w:tc>
          <w:tcPr>
            <w:tcW w:w="380" w:type="pct"/>
            <w:tcBorders>
              <w:top w:val="single" w:sz="4" w:space="0" w:color="auto"/>
              <w:left w:val="single" w:sz="4" w:space="0" w:color="auto"/>
              <w:right w:val="single" w:sz="4" w:space="0" w:color="auto"/>
            </w:tcBorders>
            <w:vAlign w:val="center"/>
          </w:tcPr>
          <w:p w14:paraId="36B02FC1"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1</w:t>
            </w:r>
          </w:p>
        </w:tc>
        <w:tc>
          <w:tcPr>
            <w:tcW w:w="389" w:type="pct"/>
            <w:tcBorders>
              <w:top w:val="single" w:sz="4" w:space="0" w:color="auto"/>
              <w:left w:val="single" w:sz="4" w:space="0" w:color="auto"/>
              <w:right w:val="single" w:sz="4" w:space="0" w:color="auto"/>
            </w:tcBorders>
            <w:vAlign w:val="center"/>
          </w:tcPr>
          <w:p w14:paraId="2024D103"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空气</w:t>
            </w:r>
          </w:p>
        </w:tc>
        <w:tc>
          <w:tcPr>
            <w:tcW w:w="2197" w:type="pct"/>
            <w:tcBorders>
              <w:top w:val="single" w:sz="4" w:space="0" w:color="auto"/>
              <w:left w:val="single" w:sz="4" w:space="0" w:color="auto"/>
              <w:bottom w:val="single" w:sz="4" w:space="0" w:color="auto"/>
              <w:right w:val="single" w:sz="4" w:space="0" w:color="auto"/>
            </w:tcBorders>
            <w:vAlign w:val="center"/>
          </w:tcPr>
          <w:p w14:paraId="3F732805" w14:textId="77777777" w:rsidR="00610E33" w:rsidRPr="00610E33" w:rsidRDefault="00610E33" w:rsidP="00610E33">
            <w:pPr>
              <w:widowControl w:val="0"/>
              <w:tabs>
                <w:tab w:val="left" w:pos="1890"/>
              </w:tabs>
              <w:adjustRightInd/>
              <w:snapToGrid/>
              <w:spacing w:line="240" w:lineRule="auto"/>
              <w:ind w:firstLineChars="0" w:firstLine="0"/>
              <w:rPr>
                <w:sz w:val="24"/>
              </w:rPr>
            </w:pPr>
            <w:r w:rsidRPr="00610E33">
              <w:rPr>
                <w:rFonts w:ascii="宋体" w:hAnsi="宋体" w:cs="宋体" w:hint="eastAsia"/>
                <w:sz w:val="24"/>
              </w:rPr>
              <w:t>①</w:t>
            </w:r>
            <w:r w:rsidRPr="00610E33">
              <w:rPr>
                <w:sz w:val="24"/>
              </w:rPr>
              <w:t>工业试验水冶厂（现有）、南矿带卫星吸附厂（新增）、北矿带吸附区下风向各</w:t>
            </w:r>
            <w:r w:rsidRPr="00610E33">
              <w:rPr>
                <w:sz w:val="24"/>
              </w:rPr>
              <w:t>1</w:t>
            </w:r>
            <w:r w:rsidRPr="00610E33">
              <w:rPr>
                <w:sz w:val="24"/>
              </w:rPr>
              <w:t>个点（新增）；</w:t>
            </w:r>
          </w:p>
          <w:p w14:paraId="3FD3300B" w14:textId="77777777" w:rsidR="00610E33" w:rsidRPr="00610E33" w:rsidRDefault="00610E33" w:rsidP="00610E33">
            <w:pPr>
              <w:widowControl w:val="0"/>
              <w:tabs>
                <w:tab w:val="left" w:pos="1890"/>
              </w:tabs>
              <w:adjustRightInd/>
              <w:snapToGrid/>
              <w:spacing w:line="240" w:lineRule="auto"/>
              <w:ind w:firstLineChars="0" w:firstLine="0"/>
              <w:rPr>
                <w:sz w:val="24"/>
                <w:szCs w:val="24"/>
              </w:rPr>
            </w:pPr>
            <w:r w:rsidRPr="00610E33">
              <w:rPr>
                <w:rFonts w:ascii="宋体" w:hAnsi="宋体" w:cs="宋体" w:hint="eastAsia"/>
                <w:sz w:val="24"/>
              </w:rPr>
              <w:t>②</w:t>
            </w:r>
            <w:r w:rsidRPr="00610E33">
              <w:rPr>
                <w:sz w:val="24"/>
              </w:rPr>
              <w:t>七三八厂生活区（新增）</w:t>
            </w:r>
            <w:r w:rsidRPr="00610E33">
              <w:rPr>
                <w:kern w:val="2"/>
                <w:sz w:val="24"/>
              </w:rPr>
              <w:t>。</w:t>
            </w:r>
          </w:p>
        </w:tc>
        <w:tc>
          <w:tcPr>
            <w:tcW w:w="379" w:type="pct"/>
            <w:tcBorders>
              <w:top w:val="single" w:sz="4" w:space="0" w:color="auto"/>
              <w:left w:val="single" w:sz="4" w:space="0" w:color="auto"/>
              <w:bottom w:val="single" w:sz="4" w:space="0" w:color="auto"/>
              <w:right w:val="single" w:sz="4" w:space="0" w:color="auto"/>
            </w:tcBorders>
            <w:vAlign w:val="center"/>
          </w:tcPr>
          <w:p w14:paraId="23E6E2E0"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4</w:t>
            </w:r>
          </w:p>
        </w:tc>
        <w:tc>
          <w:tcPr>
            <w:tcW w:w="1213" w:type="pct"/>
            <w:tcBorders>
              <w:top w:val="single" w:sz="4" w:space="0" w:color="auto"/>
              <w:left w:val="single" w:sz="4" w:space="0" w:color="auto"/>
              <w:bottom w:val="single" w:sz="4" w:space="0" w:color="auto"/>
              <w:right w:val="single" w:sz="4" w:space="0" w:color="auto"/>
            </w:tcBorders>
            <w:vAlign w:val="center"/>
          </w:tcPr>
          <w:p w14:paraId="6B9A6CC9"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vertAlign w:val="superscript"/>
              </w:rPr>
              <w:t>222</w:t>
            </w:r>
            <w:r w:rsidRPr="00610E33">
              <w:rPr>
                <w:sz w:val="24"/>
              </w:rPr>
              <w:t>Rn</w:t>
            </w:r>
            <w:r w:rsidRPr="00610E33">
              <w:rPr>
                <w:sz w:val="24"/>
              </w:rPr>
              <w:t>及其子体</w:t>
            </w:r>
          </w:p>
        </w:tc>
        <w:tc>
          <w:tcPr>
            <w:tcW w:w="442" w:type="pct"/>
            <w:tcBorders>
              <w:top w:val="single" w:sz="4" w:space="0" w:color="auto"/>
              <w:left w:val="single" w:sz="4" w:space="0" w:color="auto"/>
              <w:bottom w:val="single" w:sz="4" w:space="0" w:color="auto"/>
              <w:right w:val="single" w:sz="4" w:space="0" w:color="auto"/>
            </w:tcBorders>
            <w:vAlign w:val="center"/>
          </w:tcPr>
          <w:p w14:paraId="1E4C4AD1"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kern w:val="2"/>
                <w:sz w:val="24"/>
              </w:rPr>
              <w:t>1</w:t>
            </w:r>
            <w:r w:rsidRPr="00610E33">
              <w:rPr>
                <w:kern w:val="2"/>
                <w:sz w:val="24"/>
              </w:rPr>
              <w:t>次</w:t>
            </w:r>
            <w:r w:rsidRPr="00610E33">
              <w:rPr>
                <w:kern w:val="2"/>
                <w:sz w:val="24"/>
              </w:rPr>
              <w:t>/</w:t>
            </w:r>
            <w:r w:rsidRPr="00610E33">
              <w:rPr>
                <w:kern w:val="2"/>
                <w:sz w:val="24"/>
              </w:rPr>
              <w:t>季</w:t>
            </w:r>
          </w:p>
        </w:tc>
      </w:tr>
      <w:tr w:rsidR="00610E33" w:rsidRPr="00610E33" w14:paraId="3A9BC575" w14:textId="77777777" w:rsidTr="00387759">
        <w:trPr>
          <w:trHeight w:val="397"/>
          <w:jc w:val="center"/>
        </w:trPr>
        <w:tc>
          <w:tcPr>
            <w:tcW w:w="380" w:type="pct"/>
            <w:tcBorders>
              <w:top w:val="single" w:sz="4" w:space="0" w:color="auto"/>
              <w:left w:val="single" w:sz="4" w:space="0" w:color="auto"/>
              <w:bottom w:val="single" w:sz="4" w:space="0" w:color="auto"/>
              <w:right w:val="single" w:sz="4" w:space="0" w:color="auto"/>
            </w:tcBorders>
            <w:vAlign w:val="center"/>
          </w:tcPr>
          <w:p w14:paraId="556BAB92"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2</w:t>
            </w:r>
          </w:p>
        </w:tc>
        <w:tc>
          <w:tcPr>
            <w:tcW w:w="389" w:type="pct"/>
            <w:tcBorders>
              <w:top w:val="single" w:sz="4" w:space="0" w:color="auto"/>
              <w:left w:val="single" w:sz="4" w:space="0" w:color="auto"/>
              <w:bottom w:val="single" w:sz="4" w:space="0" w:color="auto"/>
              <w:right w:val="single" w:sz="4" w:space="0" w:color="auto"/>
            </w:tcBorders>
            <w:vAlign w:val="center"/>
          </w:tcPr>
          <w:p w14:paraId="1EA1EF76"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贯穿辐射剂量率</w:t>
            </w:r>
          </w:p>
        </w:tc>
        <w:tc>
          <w:tcPr>
            <w:tcW w:w="2197" w:type="pct"/>
            <w:tcBorders>
              <w:top w:val="single" w:sz="4" w:space="0" w:color="auto"/>
              <w:left w:val="single" w:sz="4" w:space="0" w:color="auto"/>
              <w:bottom w:val="single" w:sz="4" w:space="0" w:color="auto"/>
              <w:right w:val="single" w:sz="4" w:space="0" w:color="auto"/>
            </w:tcBorders>
            <w:vAlign w:val="center"/>
          </w:tcPr>
          <w:p w14:paraId="456C392A" w14:textId="77777777" w:rsidR="00610E33" w:rsidRPr="00610E33" w:rsidRDefault="00610E33" w:rsidP="00610E33">
            <w:pPr>
              <w:widowControl w:val="0"/>
              <w:tabs>
                <w:tab w:val="left" w:pos="1890"/>
              </w:tabs>
              <w:adjustRightInd/>
              <w:snapToGrid/>
              <w:spacing w:line="240" w:lineRule="auto"/>
              <w:ind w:firstLineChars="0" w:firstLine="0"/>
              <w:rPr>
                <w:sz w:val="24"/>
              </w:rPr>
            </w:pPr>
            <w:r w:rsidRPr="00610E33">
              <w:rPr>
                <w:rFonts w:ascii="宋体" w:hAnsi="宋体" w:cs="宋体" w:hint="eastAsia"/>
                <w:sz w:val="24"/>
              </w:rPr>
              <w:t>①</w:t>
            </w:r>
            <w:r w:rsidRPr="00610E33">
              <w:rPr>
                <w:sz w:val="24"/>
              </w:rPr>
              <w:t>工业试验水冶厂（现有）、南矿带卫星吸附厂（新增）、北矿带吸附区下风向各</w:t>
            </w:r>
            <w:r w:rsidRPr="00610E33">
              <w:rPr>
                <w:sz w:val="24"/>
              </w:rPr>
              <w:t>1</w:t>
            </w:r>
            <w:r w:rsidRPr="00610E33">
              <w:rPr>
                <w:sz w:val="24"/>
              </w:rPr>
              <w:t>个点（新增）；</w:t>
            </w:r>
          </w:p>
          <w:p w14:paraId="63D9DC0B" w14:textId="77777777" w:rsidR="00610E33" w:rsidRPr="00610E33" w:rsidRDefault="00610E33" w:rsidP="00610E33">
            <w:pPr>
              <w:widowControl w:val="0"/>
              <w:tabs>
                <w:tab w:val="left" w:pos="1890"/>
              </w:tabs>
              <w:adjustRightInd/>
              <w:snapToGrid/>
              <w:spacing w:line="240" w:lineRule="auto"/>
              <w:ind w:firstLineChars="0" w:firstLine="0"/>
              <w:rPr>
                <w:sz w:val="24"/>
              </w:rPr>
            </w:pPr>
            <w:r w:rsidRPr="00610E33">
              <w:rPr>
                <w:rFonts w:ascii="宋体" w:hAnsi="宋体" w:cs="宋体" w:hint="eastAsia"/>
                <w:sz w:val="24"/>
              </w:rPr>
              <w:t>②</w:t>
            </w:r>
            <w:r w:rsidRPr="00610E33">
              <w:rPr>
                <w:sz w:val="24"/>
              </w:rPr>
              <w:t>七三八厂生活区（现有）</w:t>
            </w:r>
            <w:r w:rsidRPr="00610E33">
              <w:rPr>
                <w:kern w:val="2"/>
                <w:sz w:val="24"/>
              </w:rPr>
              <w:t>；</w:t>
            </w:r>
          </w:p>
          <w:p w14:paraId="37DB7F64" w14:textId="77777777" w:rsidR="00610E33" w:rsidRPr="00610E33" w:rsidRDefault="00610E33" w:rsidP="00610E33">
            <w:pPr>
              <w:widowControl w:val="0"/>
              <w:tabs>
                <w:tab w:val="left" w:pos="1890"/>
              </w:tabs>
              <w:adjustRightInd/>
              <w:snapToGrid/>
              <w:spacing w:line="240" w:lineRule="auto"/>
              <w:ind w:firstLineChars="0" w:firstLine="0"/>
              <w:rPr>
                <w:kern w:val="2"/>
                <w:sz w:val="24"/>
                <w:szCs w:val="24"/>
              </w:rPr>
            </w:pPr>
            <w:r w:rsidRPr="00610E33">
              <w:rPr>
                <w:rFonts w:ascii="宋体" w:hAnsi="宋体" w:cs="宋体" w:hint="eastAsia"/>
                <w:sz w:val="24"/>
              </w:rPr>
              <w:t>③</w:t>
            </w:r>
            <w:r w:rsidRPr="00610E33">
              <w:rPr>
                <w:sz w:val="24"/>
              </w:rPr>
              <w:t>树脂运输道路（新增）</w:t>
            </w:r>
            <w:r w:rsidRPr="00610E33">
              <w:rPr>
                <w:kern w:val="2"/>
                <w:sz w:val="24"/>
              </w:rPr>
              <w:t>。</w:t>
            </w:r>
          </w:p>
        </w:tc>
        <w:tc>
          <w:tcPr>
            <w:tcW w:w="379" w:type="pct"/>
            <w:tcBorders>
              <w:top w:val="single" w:sz="4" w:space="0" w:color="auto"/>
              <w:left w:val="single" w:sz="4" w:space="0" w:color="auto"/>
              <w:bottom w:val="single" w:sz="4" w:space="0" w:color="auto"/>
              <w:right w:val="single" w:sz="4" w:space="0" w:color="auto"/>
            </w:tcBorders>
            <w:vAlign w:val="center"/>
          </w:tcPr>
          <w:p w14:paraId="7AB300A8"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7</w:t>
            </w:r>
          </w:p>
        </w:tc>
        <w:tc>
          <w:tcPr>
            <w:tcW w:w="1213" w:type="pct"/>
            <w:tcBorders>
              <w:top w:val="single" w:sz="4" w:space="0" w:color="auto"/>
              <w:left w:val="single" w:sz="4" w:space="0" w:color="auto"/>
              <w:bottom w:val="single" w:sz="4" w:space="0" w:color="auto"/>
              <w:right w:val="single" w:sz="4" w:space="0" w:color="auto"/>
            </w:tcBorders>
            <w:vAlign w:val="center"/>
          </w:tcPr>
          <w:p w14:paraId="402D2B5C"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vertAlign w:val="superscript"/>
              </w:rPr>
            </w:pPr>
            <w:r w:rsidRPr="00610E33">
              <w:rPr>
                <w:sz w:val="24"/>
                <w:szCs w:val="24"/>
              </w:rPr>
              <w:t>γ</w:t>
            </w:r>
            <w:r w:rsidRPr="00610E33">
              <w:rPr>
                <w:sz w:val="24"/>
                <w:szCs w:val="24"/>
              </w:rPr>
              <w:t>辐射空气吸收剂量率</w:t>
            </w:r>
          </w:p>
        </w:tc>
        <w:tc>
          <w:tcPr>
            <w:tcW w:w="442" w:type="pct"/>
            <w:tcBorders>
              <w:top w:val="single" w:sz="4" w:space="0" w:color="auto"/>
              <w:left w:val="single" w:sz="4" w:space="0" w:color="auto"/>
              <w:bottom w:val="single" w:sz="4" w:space="0" w:color="auto"/>
              <w:right w:val="single" w:sz="4" w:space="0" w:color="auto"/>
            </w:tcBorders>
            <w:vAlign w:val="center"/>
          </w:tcPr>
          <w:p w14:paraId="1FE54BDB"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1</w:t>
            </w:r>
            <w:r w:rsidRPr="00610E33">
              <w:rPr>
                <w:sz w:val="24"/>
                <w:szCs w:val="24"/>
              </w:rPr>
              <w:t>次</w:t>
            </w:r>
            <w:r w:rsidRPr="00610E33">
              <w:rPr>
                <w:sz w:val="24"/>
                <w:szCs w:val="24"/>
              </w:rPr>
              <w:t>/</w:t>
            </w:r>
            <w:r w:rsidRPr="00610E33">
              <w:rPr>
                <w:sz w:val="24"/>
                <w:szCs w:val="24"/>
              </w:rPr>
              <w:t>半年</w:t>
            </w:r>
          </w:p>
        </w:tc>
      </w:tr>
      <w:tr w:rsidR="00610E33" w:rsidRPr="00610E33" w14:paraId="4CC757D3" w14:textId="77777777" w:rsidTr="00387759">
        <w:trPr>
          <w:trHeight w:val="613"/>
          <w:jc w:val="center"/>
        </w:trPr>
        <w:tc>
          <w:tcPr>
            <w:tcW w:w="380" w:type="pct"/>
            <w:vMerge w:val="restart"/>
            <w:tcBorders>
              <w:top w:val="single" w:sz="4" w:space="0" w:color="auto"/>
              <w:left w:val="single" w:sz="4" w:space="0" w:color="auto"/>
              <w:right w:val="single" w:sz="4" w:space="0" w:color="auto"/>
            </w:tcBorders>
            <w:vAlign w:val="center"/>
          </w:tcPr>
          <w:p w14:paraId="04F2FC7D"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3</w:t>
            </w:r>
          </w:p>
        </w:tc>
        <w:tc>
          <w:tcPr>
            <w:tcW w:w="389" w:type="pct"/>
            <w:vMerge w:val="restart"/>
            <w:tcBorders>
              <w:top w:val="single" w:sz="4" w:space="0" w:color="auto"/>
              <w:left w:val="single" w:sz="4" w:space="0" w:color="auto"/>
              <w:right w:val="single" w:sz="4" w:space="0" w:color="auto"/>
            </w:tcBorders>
            <w:vAlign w:val="center"/>
          </w:tcPr>
          <w:p w14:paraId="78CCF8DC"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地下水</w:t>
            </w:r>
          </w:p>
        </w:tc>
        <w:tc>
          <w:tcPr>
            <w:tcW w:w="2197" w:type="pct"/>
            <w:vMerge w:val="restart"/>
            <w:tcBorders>
              <w:top w:val="single" w:sz="4" w:space="0" w:color="auto"/>
              <w:left w:val="single" w:sz="4" w:space="0" w:color="auto"/>
              <w:right w:val="single" w:sz="4" w:space="0" w:color="auto"/>
            </w:tcBorders>
            <w:vAlign w:val="center"/>
          </w:tcPr>
          <w:p w14:paraId="6A740BA0" w14:textId="77777777" w:rsidR="00610E33" w:rsidRPr="00610E33" w:rsidRDefault="00610E33" w:rsidP="00610E33">
            <w:pPr>
              <w:widowControl w:val="0"/>
              <w:tabs>
                <w:tab w:val="left" w:pos="1890"/>
              </w:tabs>
              <w:adjustRightInd/>
              <w:snapToGrid/>
              <w:spacing w:line="240" w:lineRule="auto"/>
              <w:ind w:firstLineChars="0" w:firstLine="0"/>
              <w:rPr>
                <w:sz w:val="24"/>
              </w:rPr>
            </w:pPr>
            <w:r w:rsidRPr="00610E33">
              <w:rPr>
                <w:rFonts w:ascii="宋体" w:hAnsi="宋体" w:cs="宋体" w:hint="eastAsia"/>
                <w:sz w:val="24"/>
              </w:rPr>
              <w:t>①</w:t>
            </w:r>
            <w:r w:rsidRPr="00610E33">
              <w:rPr>
                <w:sz w:val="24"/>
              </w:rPr>
              <w:t>本延续试验监测井（上层、下层及含矿层监测井，新增，共</w:t>
            </w:r>
            <w:r w:rsidRPr="00610E33">
              <w:rPr>
                <w:sz w:val="24"/>
              </w:rPr>
              <w:t>37</w:t>
            </w:r>
            <w:r w:rsidRPr="00610E33">
              <w:rPr>
                <w:sz w:val="24"/>
              </w:rPr>
              <w:t>眼）；</w:t>
            </w:r>
          </w:p>
          <w:p w14:paraId="00EEF523" w14:textId="77777777" w:rsidR="00610E33" w:rsidRPr="00610E33" w:rsidRDefault="00610E33" w:rsidP="00610E33">
            <w:pPr>
              <w:widowControl w:val="0"/>
              <w:tabs>
                <w:tab w:val="left" w:pos="1890"/>
              </w:tabs>
              <w:adjustRightInd/>
              <w:snapToGrid/>
              <w:spacing w:line="240" w:lineRule="auto"/>
              <w:ind w:firstLineChars="0" w:firstLine="0"/>
              <w:rPr>
                <w:sz w:val="24"/>
                <w:szCs w:val="24"/>
              </w:rPr>
            </w:pPr>
            <w:r w:rsidRPr="00610E33">
              <w:rPr>
                <w:rFonts w:ascii="宋体" w:hAnsi="宋体" w:cs="宋体" w:hint="eastAsia"/>
                <w:sz w:val="24"/>
              </w:rPr>
              <w:t>②</w:t>
            </w:r>
            <w:r w:rsidRPr="00610E33">
              <w:rPr>
                <w:sz w:val="24"/>
              </w:rPr>
              <w:t>原工业试验监测井（上层、下层及含矿层监测井，现有，共</w:t>
            </w:r>
            <w:r w:rsidRPr="00610E33">
              <w:rPr>
                <w:sz w:val="24"/>
              </w:rPr>
              <w:t>11</w:t>
            </w:r>
            <w:r w:rsidRPr="00610E33">
              <w:rPr>
                <w:sz w:val="24"/>
              </w:rPr>
              <w:t>眼）。</w:t>
            </w:r>
          </w:p>
        </w:tc>
        <w:tc>
          <w:tcPr>
            <w:tcW w:w="379" w:type="pct"/>
            <w:vMerge w:val="restart"/>
            <w:tcBorders>
              <w:top w:val="single" w:sz="4" w:space="0" w:color="auto"/>
              <w:left w:val="single" w:sz="4" w:space="0" w:color="auto"/>
              <w:right w:val="single" w:sz="4" w:space="0" w:color="auto"/>
            </w:tcBorders>
            <w:vAlign w:val="center"/>
          </w:tcPr>
          <w:p w14:paraId="6A3EE46D"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48</w:t>
            </w:r>
          </w:p>
        </w:tc>
        <w:tc>
          <w:tcPr>
            <w:tcW w:w="1213" w:type="pct"/>
            <w:tcBorders>
              <w:top w:val="single" w:sz="4" w:space="0" w:color="auto"/>
              <w:left w:val="single" w:sz="4" w:space="0" w:color="auto"/>
              <w:bottom w:val="single" w:sz="4" w:space="0" w:color="auto"/>
              <w:right w:val="single" w:sz="4" w:space="0" w:color="auto"/>
            </w:tcBorders>
            <w:vAlign w:val="center"/>
          </w:tcPr>
          <w:p w14:paraId="09CE29F4"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1"/>
                <w:szCs w:val="21"/>
              </w:rPr>
              <w:t>pH</w:t>
            </w:r>
            <w:r w:rsidRPr="00610E33">
              <w:rPr>
                <w:sz w:val="21"/>
                <w:szCs w:val="21"/>
              </w:rPr>
              <w:t>、</w:t>
            </w:r>
            <w:r w:rsidRPr="00610E33">
              <w:rPr>
                <w:sz w:val="24"/>
                <w:szCs w:val="24"/>
              </w:rPr>
              <w:t>U</w:t>
            </w:r>
            <w:r w:rsidRPr="00610E33">
              <w:rPr>
                <w:sz w:val="24"/>
                <w:szCs w:val="24"/>
                <w:vertAlign w:val="subscript"/>
              </w:rPr>
              <w:t>天然</w:t>
            </w:r>
            <w:r w:rsidRPr="00610E33">
              <w:rPr>
                <w:sz w:val="24"/>
                <w:szCs w:val="24"/>
              </w:rPr>
              <w:t>、</w:t>
            </w:r>
            <w:r w:rsidRPr="00610E33">
              <w:rPr>
                <w:sz w:val="24"/>
                <w:szCs w:val="24"/>
              </w:rPr>
              <w:t>HCO</w:t>
            </w:r>
            <w:r w:rsidRPr="00610E33">
              <w:rPr>
                <w:sz w:val="24"/>
                <w:szCs w:val="24"/>
                <w:vertAlign w:val="subscript"/>
              </w:rPr>
              <w:t>3</w:t>
            </w:r>
            <w:r w:rsidRPr="00610E33">
              <w:rPr>
                <w:sz w:val="24"/>
                <w:szCs w:val="24"/>
                <w:vertAlign w:val="superscript"/>
              </w:rPr>
              <w:t>-</w:t>
            </w:r>
            <w:r w:rsidRPr="00610E33">
              <w:rPr>
                <w:sz w:val="24"/>
                <w:szCs w:val="24"/>
              </w:rPr>
              <w:t>、</w:t>
            </w:r>
            <w:r w:rsidRPr="00610E33">
              <w:rPr>
                <w:sz w:val="24"/>
                <w:szCs w:val="24"/>
              </w:rPr>
              <w:t>N</w:t>
            </w:r>
            <w:r w:rsidRPr="00610E33">
              <w:rPr>
                <w:kern w:val="2"/>
                <w:sz w:val="24"/>
                <w:szCs w:val="24"/>
              </w:rPr>
              <w:t>O</w:t>
            </w:r>
            <w:r w:rsidRPr="00610E33">
              <w:rPr>
                <w:kern w:val="2"/>
                <w:sz w:val="24"/>
                <w:szCs w:val="24"/>
                <w:vertAlign w:val="subscript"/>
              </w:rPr>
              <w:t>3</w:t>
            </w:r>
            <w:r w:rsidRPr="00610E33">
              <w:rPr>
                <w:kern w:val="2"/>
                <w:sz w:val="24"/>
                <w:szCs w:val="24"/>
                <w:vertAlign w:val="superscript"/>
              </w:rPr>
              <w:t>-</w:t>
            </w:r>
            <w:r w:rsidRPr="00610E33">
              <w:rPr>
                <w:kern w:val="2"/>
                <w:sz w:val="24"/>
                <w:szCs w:val="24"/>
              </w:rPr>
              <w:t>、</w:t>
            </w:r>
            <w:r w:rsidRPr="00610E33">
              <w:rPr>
                <w:kern w:val="2"/>
                <w:sz w:val="24"/>
                <w:szCs w:val="24"/>
              </w:rPr>
              <w:t>SO</w:t>
            </w:r>
            <w:r w:rsidRPr="00610E33">
              <w:rPr>
                <w:kern w:val="2"/>
                <w:sz w:val="24"/>
                <w:szCs w:val="24"/>
                <w:vertAlign w:val="subscript"/>
              </w:rPr>
              <w:t>4</w:t>
            </w:r>
            <w:r w:rsidRPr="00610E33">
              <w:rPr>
                <w:kern w:val="2"/>
                <w:sz w:val="24"/>
                <w:szCs w:val="24"/>
                <w:vertAlign w:val="superscript"/>
              </w:rPr>
              <w:t>2-</w:t>
            </w:r>
            <w:r w:rsidRPr="00610E33">
              <w:rPr>
                <w:kern w:val="2"/>
                <w:sz w:val="24"/>
                <w:szCs w:val="24"/>
              </w:rPr>
              <w:t>、</w:t>
            </w:r>
            <w:r w:rsidRPr="00610E33">
              <w:rPr>
                <w:kern w:val="2"/>
                <w:sz w:val="24"/>
                <w:szCs w:val="24"/>
              </w:rPr>
              <w:t>Cl</w:t>
            </w:r>
            <w:r w:rsidRPr="00610E33">
              <w:rPr>
                <w:kern w:val="2"/>
                <w:sz w:val="24"/>
                <w:szCs w:val="24"/>
                <w:vertAlign w:val="superscript"/>
              </w:rPr>
              <w:t>-</w:t>
            </w:r>
          </w:p>
        </w:tc>
        <w:tc>
          <w:tcPr>
            <w:tcW w:w="442" w:type="pct"/>
            <w:tcBorders>
              <w:top w:val="single" w:sz="4" w:space="0" w:color="auto"/>
              <w:left w:val="single" w:sz="4" w:space="0" w:color="auto"/>
              <w:right w:val="single" w:sz="4" w:space="0" w:color="auto"/>
            </w:tcBorders>
            <w:vAlign w:val="center"/>
          </w:tcPr>
          <w:p w14:paraId="452C3A5A"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1</w:t>
            </w:r>
            <w:r w:rsidRPr="00610E33">
              <w:rPr>
                <w:sz w:val="24"/>
                <w:szCs w:val="24"/>
              </w:rPr>
              <w:t>次</w:t>
            </w:r>
            <w:r w:rsidRPr="00610E33">
              <w:rPr>
                <w:sz w:val="24"/>
                <w:szCs w:val="24"/>
              </w:rPr>
              <w:t>/2</w:t>
            </w:r>
            <w:r w:rsidRPr="00610E33">
              <w:rPr>
                <w:sz w:val="24"/>
                <w:szCs w:val="24"/>
              </w:rPr>
              <w:t>个月</w:t>
            </w:r>
          </w:p>
        </w:tc>
      </w:tr>
      <w:tr w:rsidR="00610E33" w:rsidRPr="00610E33" w14:paraId="05B2B600" w14:textId="77777777" w:rsidTr="00387759">
        <w:trPr>
          <w:trHeight w:val="216"/>
          <w:jc w:val="center"/>
        </w:trPr>
        <w:tc>
          <w:tcPr>
            <w:tcW w:w="380" w:type="pct"/>
            <w:vMerge/>
            <w:tcBorders>
              <w:left w:val="single" w:sz="4" w:space="0" w:color="auto"/>
              <w:bottom w:val="single" w:sz="4" w:space="0" w:color="auto"/>
              <w:right w:val="single" w:sz="4" w:space="0" w:color="auto"/>
            </w:tcBorders>
            <w:vAlign w:val="center"/>
          </w:tcPr>
          <w:p w14:paraId="16811E49"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p>
        </w:tc>
        <w:tc>
          <w:tcPr>
            <w:tcW w:w="389" w:type="pct"/>
            <w:vMerge/>
            <w:tcBorders>
              <w:left w:val="single" w:sz="4" w:space="0" w:color="auto"/>
              <w:bottom w:val="single" w:sz="4" w:space="0" w:color="auto"/>
              <w:right w:val="single" w:sz="4" w:space="0" w:color="auto"/>
            </w:tcBorders>
            <w:vAlign w:val="center"/>
          </w:tcPr>
          <w:p w14:paraId="727387D2"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p>
        </w:tc>
        <w:tc>
          <w:tcPr>
            <w:tcW w:w="2197" w:type="pct"/>
            <w:vMerge/>
            <w:tcBorders>
              <w:left w:val="single" w:sz="4" w:space="0" w:color="auto"/>
              <w:bottom w:val="single" w:sz="4" w:space="0" w:color="auto"/>
              <w:right w:val="single" w:sz="4" w:space="0" w:color="auto"/>
            </w:tcBorders>
            <w:vAlign w:val="center"/>
          </w:tcPr>
          <w:p w14:paraId="552E710F" w14:textId="77777777" w:rsidR="00610E33" w:rsidRPr="00610E33" w:rsidRDefault="00610E33" w:rsidP="00610E33">
            <w:pPr>
              <w:widowControl w:val="0"/>
              <w:tabs>
                <w:tab w:val="left" w:pos="1890"/>
              </w:tabs>
              <w:adjustRightInd/>
              <w:snapToGrid/>
              <w:spacing w:line="240" w:lineRule="auto"/>
              <w:ind w:firstLineChars="0" w:firstLine="0"/>
              <w:rPr>
                <w:sz w:val="24"/>
                <w:szCs w:val="24"/>
              </w:rPr>
            </w:pPr>
          </w:p>
        </w:tc>
        <w:tc>
          <w:tcPr>
            <w:tcW w:w="379" w:type="pct"/>
            <w:vMerge/>
            <w:tcBorders>
              <w:left w:val="single" w:sz="4" w:space="0" w:color="auto"/>
              <w:bottom w:val="single" w:sz="4" w:space="0" w:color="auto"/>
              <w:right w:val="single" w:sz="4" w:space="0" w:color="auto"/>
            </w:tcBorders>
          </w:tcPr>
          <w:p w14:paraId="71B42A55"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vertAlign w:val="superscript"/>
              </w:rPr>
            </w:pPr>
          </w:p>
        </w:tc>
        <w:tc>
          <w:tcPr>
            <w:tcW w:w="1213" w:type="pct"/>
            <w:tcBorders>
              <w:top w:val="single" w:sz="4" w:space="0" w:color="auto"/>
              <w:left w:val="single" w:sz="4" w:space="0" w:color="auto"/>
              <w:bottom w:val="single" w:sz="4" w:space="0" w:color="auto"/>
              <w:right w:val="single" w:sz="4" w:space="0" w:color="auto"/>
            </w:tcBorders>
            <w:vAlign w:val="center"/>
          </w:tcPr>
          <w:p w14:paraId="27C8EF93"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vertAlign w:val="superscript"/>
              </w:rPr>
              <w:t>226</w:t>
            </w:r>
            <w:r w:rsidRPr="00610E33">
              <w:rPr>
                <w:sz w:val="24"/>
                <w:szCs w:val="24"/>
              </w:rPr>
              <w:t>Ra</w:t>
            </w:r>
            <w:r w:rsidRPr="00610E33">
              <w:rPr>
                <w:sz w:val="24"/>
                <w:szCs w:val="24"/>
              </w:rPr>
              <w:t>、</w:t>
            </w:r>
            <w:r w:rsidRPr="00610E33">
              <w:rPr>
                <w:sz w:val="24"/>
                <w:szCs w:val="24"/>
                <w:vertAlign w:val="superscript"/>
              </w:rPr>
              <w:t>210</w:t>
            </w:r>
            <w:r w:rsidRPr="00610E33">
              <w:rPr>
                <w:sz w:val="24"/>
                <w:szCs w:val="24"/>
              </w:rPr>
              <w:t>Pb</w:t>
            </w:r>
            <w:r w:rsidRPr="00610E33">
              <w:rPr>
                <w:sz w:val="24"/>
                <w:szCs w:val="24"/>
              </w:rPr>
              <w:t>、</w:t>
            </w:r>
            <w:r w:rsidRPr="00610E33">
              <w:rPr>
                <w:sz w:val="24"/>
                <w:szCs w:val="24"/>
                <w:vertAlign w:val="superscript"/>
              </w:rPr>
              <w:t>210</w:t>
            </w:r>
            <w:r w:rsidRPr="00610E33">
              <w:rPr>
                <w:sz w:val="24"/>
                <w:szCs w:val="24"/>
              </w:rPr>
              <w:t>Po</w:t>
            </w:r>
          </w:p>
        </w:tc>
        <w:tc>
          <w:tcPr>
            <w:tcW w:w="442" w:type="pct"/>
            <w:tcBorders>
              <w:left w:val="single" w:sz="4" w:space="0" w:color="auto"/>
              <w:bottom w:val="single" w:sz="4" w:space="0" w:color="auto"/>
              <w:right w:val="single" w:sz="4" w:space="0" w:color="auto"/>
            </w:tcBorders>
            <w:vAlign w:val="center"/>
          </w:tcPr>
          <w:p w14:paraId="629B9512" w14:textId="77777777" w:rsidR="00610E33" w:rsidRPr="00610E33" w:rsidRDefault="00610E33" w:rsidP="00610E33">
            <w:pPr>
              <w:widowControl w:val="0"/>
              <w:tabs>
                <w:tab w:val="left" w:pos="1890"/>
              </w:tabs>
              <w:adjustRightInd/>
              <w:snapToGrid/>
              <w:spacing w:line="240" w:lineRule="auto"/>
              <w:ind w:firstLineChars="0" w:firstLine="0"/>
              <w:jc w:val="center"/>
              <w:rPr>
                <w:sz w:val="24"/>
                <w:szCs w:val="24"/>
              </w:rPr>
            </w:pPr>
            <w:r w:rsidRPr="00610E33">
              <w:rPr>
                <w:sz w:val="24"/>
                <w:szCs w:val="24"/>
              </w:rPr>
              <w:t>1</w:t>
            </w:r>
            <w:r w:rsidRPr="00610E33">
              <w:rPr>
                <w:sz w:val="24"/>
                <w:szCs w:val="24"/>
              </w:rPr>
              <w:t>次</w:t>
            </w:r>
            <w:r w:rsidRPr="00610E33">
              <w:rPr>
                <w:sz w:val="24"/>
                <w:szCs w:val="24"/>
              </w:rPr>
              <w:t>/</w:t>
            </w:r>
            <w:r w:rsidRPr="00610E33">
              <w:rPr>
                <w:sz w:val="24"/>
                <w:szCs w:val="24"/>
              </w:rPr>
              <w:t>半年</w:t>
            </w:r>
          </w:p>
        </w:tc>
      </w:tr>
    </w:tbl>
    <w:p w14:paraId="33FCC50A" w14:textId="77777777" w:rsidR="00EB13E9" w:rsidRPr="001F14D4" w:rsidRDefault="00EB13E9" w:rsidP="001F14D4">
      <w:pPr>
        <w:pStyle w:val="2"/>
      </w:pPr>
      <w:r w:rsidRPr="001F14D4">
        <w:rPr>
          <w:rFonts w:hint="eastAsia"/>
        </w:rPr>
        <w:t>2.2</w:t>
      </w:r>
      <w:r w:rsidRPr="001F14D4">
        <w:rPr>
          <w:rFonts w:hint="eastAsia"/>
        </w:rPr>
        <w:t>配套措施落实情况</w:t>
      </w:r>
    </w:p>
    <w:p w14:paraId="031FDC77" w14:textId="77777777" w:rsidR="00EB13E9" w:rsidRPr="001F14D4" w:rsidRDefault="00EB13E9" w:rsidP="00EB13E9">
      <w:pPr>
        <w:ind w:firstLine="560"/>
        <w:rPr>
          <w:szCs w:val="28"/>
        </w:rPr>
      </w:pPr>
      <w:r w:rsidRPr="001F14D4">
        <w:rPr>
          <w:rFonts w:hint="eastAsia"/>
          <w:szCs w:val="28"/>
        </w:rPr>
        <w:t>（</w:t>
      </w:r>
      <w:r w:rsidRPr="001F14D4">
        <w:rPr>
          <w:rFonts w:hint="eastAsia"/>
          <w:szCs w:val="28"/>
        </w:rPr>
        <w:t>1</w:t>
      </w:r>
      <w:r w:rsidRPr="001F14D4">
        <w:rPr>
          <w:rFonts w:hint="eastAsia"/>
          <w:szCs w:val="28"/>
        </w:rPr>
        <w:t>）区域削减及淘汰落后产能</w:t>
      </w:r>
    </w:p>
    <w:p w14:paraId="78596DCF" w14:textId="77777777" w:rsidR="00EB13E9" w:rsidRPr="001F14D4" w:rsidRDefault="006C1A66" w:rsidP="00EB13E9">
      <w:pPr>
        <w:ind w:firstLine="560"/>
        <w:rPr>
          <w:szCs w:val="28"/>
        </w:rPr>
      </w:pPr>
      <w:r>
        <w:rPr>
          <w:rFonts w:hint="eastAsia"/>
          <w:szCs w:val="28"/>
        </w:rPr>
        <w:t>本项目不涉及</w:t>
      </w:r>
      <w:r w:rsidRPr="001F14D4">
        <w:rPr>
          <w:rFonts w:hint="eastAsia"/>
          <w:szCs w:val="28"/>
        </w:rPr>
        <w:t>区域削减及淘汰落后产能</w:t>
      </w:r>
      <w:r w:rsidR="00EB13E9" w:rsidRPr="001F14D4">
        <w:rPr>
          <w:rFonts w:hint="eastAsia"/>
          <w:szCs w:val="28"/>
        </w:rPr>
        <w:t>。</w:t>
      </w:r>
    </w:p>
    <w:p w14:paraId="19D6A154" w14:textId="77777777" w:rsidR="00EB13E9" w:rsidRPr="001F14D4" w:rsidRDefault="00EB13E9" w:rsidP="00EB13E9">
      <w:pPr>
        <w:ind w:firstLine="560"/>
        <w:rPr>
          <w:szCs w:val="28"/>
        </w:rPr>
      </w:pPr>
      <w:r w:rsidRPr="001F14D4">
        <w:rPr>
          <w:rFonts w:hint="eastAsia"/>
          <w:szCs w:val="28"/>
        </w:rPr>
        <w:t>（</w:t>
      </w:r>
      <w:r w:rsidRPr="001F14D4">
        <w:rPr>
          <w:rFonts w:hint="eastAsia"/>
          <w:szCs w:val="28"/>
        </w:rPr>
        <w:t>2</w:t>
      </w:r>
      <w:r w:rsidRPr="001F14D4">
        <w:rPr>
          <w:rFonts w:hint="eastAsia"/>
          <w:szCs w:val="28"/>
        </w:rPr>
        <w:t>）防护距离控制及居民搬迁</w:t>
      </w:r>
    </w:p>
    <w:p w14:paraId="59F7D91F" w14:textId="77777777" w:rsidR="00EB13E9" w:rsidRPr="001F14D4" w:rsidRDefault="006C1A66" w:rsidP="00EB13E9">
      <w:pPr>
        <w:ind w:firstLine="560"/>
        <w:rPr>
          <w:szCs w:val="28"/>
        </w:rPr>
      </w:pPr>
      <w:r>
        <w:rPr>
          <w:rFonts w:hint="eastAsia"/>
          <w:szCs w:val="28"/>
        </w:rPr>
        <w:t>本项目所在周围敏感点均满足《铀矿冶辐射防护和辐射环境保护规定》（</w:t>
      </w:r>
      <w:r>
        <w:rPr>
          <w:rFonts w:hint="eastAsia"/>
          <w:szCs w:val="28"/>
        </w:rPr>
        <w:t>GB</w:t>
      </w:r>
      <w:r>
        <w:rPr>
          <w:szCs w:val="28"/>
        </w:rPr>
        <w:t>23727-2020</w:t>
      </w:r>
      <w:r>
        <w:rPr>
          <w:rFonts w:hint="eastAsia"/>
          <w:szCs w:val="28"/>
        </w:rPr>
        <w:t>）辐射防护距离的要求，不涉及居民搬迁</w:t>
      </w:r>
      <w:r w:rsidR="00EB13E9" w:rsidRPr="001F14D4">
        <w:rPr>
          <w:rFonts w:hint="eastAsia"/>
          <w:szCs w:val="28"/>
        </w:rPr>
        <w:t>。</w:t>
      </w:r>
    </w:p>
    <w:p w14:paraId="145170A7" w14:textId="77777777" w:rsidR="00EB13E9" w:rsidRPr="001F14D4" w:rsidRDefault="00EB13E9" w:rsidP="001F14D4">
      <w:pPr>
        <w:pStyle w:val="2"/>
      </w:pPr>
      <w:r w:rsidRPr="001F14D4">
        <w:rPr>
          <w:rFonts w:hint="eastAsia"/>
        </w:rPr>
        <w:t>2.3</w:t>
      </w:r>
      <w:r w:rsidRPr="001F14D4">
        <w:rPr>
          <w:rFonts w:hint="eastAsia"/>
        </w:rPr>
        <w:t>其他措施落实情况</w:t>
      </w:r>
    </w:p>
    <w:p w14:paraId="135B69D9" w14:textId="77777777" w:rsidR="00EB13E9" w:rsidRPr="001F14D4" w:rsidRDefault="006C1A66" w:rsidP="001F14D4">
      <w:pPr>
        <w:ind w:firstLine="560"/>
      </w:pPr>
      <w:r>
        <w:rPr>
          <w:rFonts w:hint="eastAsia"/>
        </w:rPr>
        <w:t>本项目不涉及</w:t>
      </w:r>
      <w:r w:rsidR="00EB13E9" w:rsidRPr="001F14D4">
        <w:rPr>
          <w:rFonts w:hint="eastAsia"/>
        </w:rPr>
        <w:t>林地补偿、珍稀动植物保护、区域环境整治、相关外围工程建设等</w:t>
      </w:r>
      <w:r w:rsidRPr="001F14D4">
        <w:rPr>
          <w:rFonts w:hint="eastAsia"/>
        </w:rPr>
        <w:t>情况</w:t>
      </w:r>
      <w:r w:rsidR="00EB13E9" w:rsidRPr="001F14D4">
        <w:rPr>
          <w:rFonts w:hint="eastAsia"/>
        </w:rPr>
        <w:t>。</w:t>
      </w:r>
    </w:p>
    <w:p w14:paraId="34F85FA2" w14:textId="77777777" w:rsidR="00EB13E9" w:rsidRPr="00EB13E9" w:rsidRDefault="00EB13E9" w:rsidP="00EB13E9">
      <w:pPr>
        <w:pStyle w:val="1"/>
      </w:pPr>
      <w:r w:rsidRPr="00EB13E9">
        <w:rPr>
          <w:rFonts w:hint="eastAsia"/>
        </w:rPr>
        <w:t>3</w:t>
      </w:r>
      <w:r w:rsidRPr="00EB13E9">
        <w:rPr>
          <w:rFonts w:hint="eastAsia"/>
        </w:rPr>
        <w:t>整改工作情况</w:t>
      </w:r>
    </w:p>
    <w:p w14:paraId="37798D5D" w14:textId="77777777" w:rsidR="00EB13E9" w:rsidRPr="00EB13E9" w:rsidRDefault="00990954" w:rsidP="00EB13E9">
      <w:pPr>
        <w:ind w:firstLine="560"/>
      </w:pPr>
      <w:r>
        <w:rPr>
          <w:rFonts w:hint="eastAsia"/>
        </w:rPr>
        <w:t>本项目在</w:t>
      </w:r>
      <w:r w:rsidR="00EB13E9" w:rsidRPr="00A309CD">
        <w:rPr>
          <w:rFonts w:hint="eastAsia"/>
        </w:rPr>
        <w:t>建设过程中、竣工后、验收监测期间、提出验收意见后等各环节</w:t>
      </w:r>
      <w:r>
        <w:rPr>
          <w:rFonts w:hint="eastAsia"/>
        </w:rPr>
        <w:t>均不涉及</w:t>
      </w:r>
      <w:r w:rsidR="00EB13E9" w:rsidRPr="00A309CD">
        <w:rPr>
          <w:rFonts w:hint="eastAsia"/>
        </w:rPr>
        <w:t>整改工作。</w:t>
      </w:r>
    </w:p>
    <w:sectPr w:rsidR="00EB13E9" w:rsidRPr="00EB13E9" w:rsidSect="006773A5">
      <w:footerReference w:type="default" r:id="rId17"/>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6839" w14:textId="77777777" w:rsidR="005954EB" w:rsidRDefault="005954EB" w:rsidP="00EB13E9">
      <w:pPr>
        <w:spacing w:line="240" w:lineRule="auto"/>
        <w:ind w:firstLine="560"/>
      </w:pPr>
      <w:r>
        <w:separator/>
      </w:r>
    </w:p>
  </w:endnote>
  <w:endnote w:type="continuationSeparator" w:id="0">
    <w:p w14:paraId="5BDFF111" w14:textId="77777777" w:rsidR="005954EB" w:rsidRDefault="005954EB" w:rsidP="00EB13E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5A2B" w14:textId="77777777" w:rsidR="00896350" w:rsidRDefault="0089635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9E6A" w14:textId="77777777" w:rsidR="00896350" w:rsidRDefault="0089635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2717" w14:textId="77777777" w:rsidR="00896350" w:rsidRDefault="00896350">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693769"/>
      <w:docPartObj>
        <w:docPartGallery w:val="Page Numbers (Bottom of Page)"/>
        <w:docPartUnique/>
      </w:docPartObj>
    </w:sdtPr>
    <w:sdtEndPr/>
    <w:sdtContent>
      <w:p w14:paraId="042550D8" w14:textId="77777777" w:rsidR="006773A5" w:rsidRDefault="006773A5">
        <w:pPr>
          <w:pStyle w:val="a5"/>
          <w:ind w:firstLine="360"/>
          <w:jc w:val="center"/>
        </w:pPr>
        <w:r>
          <w:fldChar w:fldCharType="begin"/>
        </w:r>
        <w:r>
          <w:instrText>PAGE   \* MERGEFORMAT</w:instrText>
        </w:r>
        <w:r>
          <w:fldChar w:fldCharType="separate"/>
        </w:r>
        <w:r w:rsidR="00DC2D80" w:rsidRPr="00DC2D80">
          <w:rPr>
            <w:noProof/>
            <w:lang w:val="zh-CN"/>
          </w:rPr>
          <w:t>4</w:t>
        </w:r>
        <w:r>
          <w:fldChar w:fldCharType="end"/>
        </w:r>
      </w:p>
    </w:sdtContent>
  </w:sdt>
  <w:p w14:paraId="269B3128" w14:textId="77777777" w:rsidR="006773A5" w:rsidRDefault="006773A5">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AF2" w14:textId="77777777" w:rsidR="005954EB" w:rsidRDefault="005954EB" w:rsidP="00EB13E9">
      <w:pPr>
        <w:spacing w:line="240" w:lineRule="auto"/>
        <w:ind w:firstLine="560"/>
      </w:pPr>
      <w:r>
        <w:separator/>
      </w:r>
    </w:p>
  </w:footnote>
  <w:footnote w:type="continuationSeparator" w:id="0">
    <w:p w14:paraId="1F43F1B7" w14:textId="77777777" w:rsidR="005954EB" w:rsidRDefault="005954EB" w:rsidP="00EB13E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086" w14:textId="77777777" w:rsidR="00896350" w:rsidRDefault="0089635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58C2" w14:textId="77777777" w:rsidR="00896350" w:rsidRDefault="00896350">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506B" w14:textId="77777777" w:rsidR="00896350" w:rsidRDefault="0089635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83"/>
    <w:rsid w:val="00007457"/>
    <w:rsid w:val="000B3715"/>
    <w:rsid w:val="00136006"/>
    <w:rsid w:val="001D17E7"/>
    <w:rsid w:val="001E1894"/>
    <w:rsid w:val="001E2513"/>
    <w:rsid w:val="001F14D4"/>
    <w:rsid w:val="002A05B6"/>
    <w:rsid w:val="002E4926"/>
    <w:rsid w:val="00305D87"/>
    <w:rsid w:val="00310C5A"/>
    <w:rsid w:val="0036241C"/>
    <w:rsid w:val="003F4845"/>
    <w:rsid w:val="00464B39"/>
    <w:rsid w:val="00555EA1"/>
    <w:rsid w:val="005954EB"/>
    <w:rsid w:val="00610E33"/>
    <w:rsid w:val="006773A5"/>
    <w:rsid w:val="006C1A66"/>
    <w:rsid w:val="006D0044"/>
    <w:rsid w:val="007166E9"/>
    <w:rsid w:val="00761322"/>
    <w:rsid w:val="00784AC7"/>
    <w:rsid w:val="007D21D3"/>
    <w:rsid w:val="008614AC"/>
    <w:rsid w:val="00896350"/>
    <w:rsid w:val="00975BDC"/>
    <w:rsid w:val="00990954"/>
    <w:rsid w:val="009B4F83"/>
    <w:rsid w:val="009D5E84"/>
    <w:rsid w:val="00A41172"/>
    <w:rsid w:val="00A640BB"/>
    <w:rsid w:val="00C764ED"/>
    <w:rsid w:val="00CA02AE"/>
    <w:rsid w:val="00D51CB3"/>
    <w:rsid w:val="00D57E1F"/>
    <w:rsid w:val="00D66952"/>
    <w:rsid w:val="00DC2D80"/>
    <w:rsid w:val="00E32C38"/>
    <w:rsid w:val="00EB13E9"/>
    <w:rsid w:val="00ED5464"/>
    <w:rsid w:val="00F5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2B2D"/>
  <w15:chartTrackingRefBased/>
  <w15:docId w15:val="{CE60312E-D404-48E7-A10C-903A2BAD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4D4"/>
    <w:pPr>
      <w:adjustRightInd w:val="0"/>
      <w:snapToGrid w:val="0"/>
      <w:spacing w:line="480" w:lineRule="exact"/>
      <w:ind w:firstLineChars="200" w:firstLine="200"/>
      <w:jc w:val="both"/>
    </w:pPr>
    <w:rPr>
      <w:rFonts w:ascii="Times New Roman" w:eastAsia="宋体" w:hAnsi="Times New Roman" w:cs="Times New Roman"/>
      <w:kern w:val="0"/>
      <w:sz w:val="28"/>
    </w:rPr>
  </w:style>
  <w:style w:type="paragraph" w:styleId="1">
    <w:name w:val="heading 1"/>
    <w:basedOn w:val="a"/>
    <w:next w:val="a"/>
    <w:link w:val="10"/>
    <w:uiPriority w:val="9"/>
    <w:qFormat/>
    <w:rsid w:val="00EB13E9"/>
    <w:pPr>
      <w:keepNext/>
      <w:keepLines/>
      <w:ind w:firstLineChars="0" w:firstLine="0"/>
      <w:outlineLvl w:val="0"/>
    </w:pPr>
    <w:rPr>
      <w:b/>
      <w:bCs/>
      <w:kern w:val="44"/>
      <w:szCs w:val="44"/>
    </w:rPr>
  </w:style>
  <w:style w:type="paragraph" w:styleId="2">
    <w:name w:val="heading 2"/>
    <w:basedOn w:val="a"/>
    <w:next w:val="a"/>
    <w:link w:val="21"/>
    <w:qFormat/>
    <w:rsid w:val="00EB13E9"/>
    <w:pPr>
      <w:keepNext/>
      <w:keepLines/>
      <w:widowControl w:val="0"/>
      <w:adjustRightInd/>
      <w:snapToGrid/>
      <w:ind w:firstLineChars="0" w:firstLine="0"/>
      <w:outlineLvl w:val="1"/>
    </w:pPr>
    <w:rPr>
      <w:b/>
      <w:bCs/>
      <w:kern w:val="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3E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EB13E9"/>
    <w:rPr>
      <w:sz w:val="18"/>
      <w:szCs w:val="18"/>
    </w:rPr>
  </w:style>
  <w:style w:type="paragraph" w:styleId="a5">
    <w:name w:val="footer"/>
    <w:basedOn w:val="a"/>
    <w:link w:val="a6"/>
    <w:uiPriority w:val="99"/>
    <w:unhideWhenUsed/>
    <w:rsid w:val="00EB13E9"/>
    <w:pPr>
      <w:tabs>
        <w:tab w:val="center" w:pos="4153"/>
        <w:tab w:val="right" w:pos="8306"/>
      </w:tabs>
      <w:jc w:val="left"/>
    </w:pPr>
    <w:rPr>
      <w:sz w:val="18"/>
      <w:szCs w:val="18"/>
    </w:rPr>
  </w:style>
  <w:style w:type="character" w:customStyle="1" w:styleId="a6">
    <w:name w:val="页脚 字符"/>
    <w:basedOn w:val="a0"/>
    <w:link w:val="a5"/>
    <w:uiPriority w:val="99"/>
    <w:rsid w:val="00EB13E9"/>
    <w:rPr>
      <w:sz w:val="18"/>
      <w:szCs w:val="18"/>
    </w:rPr>
  </w:style>
  <w:style w:type="character" w:customStyle="1" w:styleId="20">
    <w:name w:val="标题 2 字符"/>
    <w:basedOn w:val="a0"/>
    <w:uiPriority w:val="9"/>
    <w:semiHidden/>
    <w:rsid w:val="00EB13E9"/>
    <w:rPr>
      <w:rFonts w:asciiTheme="majorHAnsi" w:eastAsiaTheme="majorEastAsia" w:hAnsiTheme="majorHAnsi" w:cstheme="majorBidi"/>
      <w:b/>
      <w:bCs/>
      <w:kern w:val="0"/>
      <w:sz w:val="32"/>
      <w:szCs w:val="32"/>
    </w:rPr>
  </w:style>
  <w:style w:type="character" w:customStyle="1" w:styleId="21">
    <w:name w:val="标题 2 字符1"/>
    <w:link w:val="2"/>
    <w:rsid w:val="00EB13E9"/>
    <w:rPr>
      <w:rFonts w:ascii="Times New Roman" w:eastAsia="宋体" w:hAnsi="Times New Roman" w:cs="Times New Roman"/>
      <w:b/>
      <w:bCs/>
      <w:sz w:val="28"/>
      <w:szCs w:val="32"/>
    </w:rPr>
  </w:style>
  <w:style w:type="paragraph" w:customStyle="1" w:styleId="11">
    <w:name w:val="普通(网站)1"/>
    <w:basedOn w:val="a"/>
    <w:rsid w:val="00EB13E9"/>
    <w:pPr>
      <w:adjustRightInd/>
      <w:snapToGrid/>
      <w:spacing w:before="100" w:beforeAutospacing="1" w:after="100" w:afterAutospacing="1" w:line="240" w:lineRule="auto"/>
      <w:ind w:firstLineChars="0" w:firstLine="0"/>
    </w:pPr>
    <w:rPr>
      <w:rFonts w:ascii="宋体" w:hAnsi="宋体" w:cs="宋体"/>
      <w:szCs w:val="24"/>
    </w:rPr>
  </w:style>
  <w:style w:type="character" w:customStyle="1" w:styleId="10">
    <w:name w:val="标题 1 字符"/>
    <w:basedOn w:val="a0"/>
    <w:link w:val="1"/>
    <w:uiPriority w:val="9"/>
    <w:rsid w:val="00EB13E9"/>
    <w:rPr>
      <w:rFonts w:ascii="Times New Roman" w:eastAsia="宋体" w:hAnsi="Times New Roman"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1</Pages>
  <Words>365</Words>
  <Characters>2083</Characters>
  <Application>Microsoft Office Word</Application>
  <DocSecurity>0</DocSecurity>
  <Lines>17</Lines>
  <Paragraphs>4</Paragraphs>
  <ScaleCrop>false</ScaleCrop>
  <Company>12354345</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葛佳亮</dc:creator>
  <cp:keywords/>
  <dc:description/>
  <cp:lastModifiedBy>谷 盼</cp:lastModifiedBy>
  <cp:revision>26</cp:revision>
  <dcterms:created xsi:type="dcterms:W3CDTF">2023-09-07T08:46:00Z</dcterms:created>
  <dcterms:modified xsi:type="dcterms:W3CDTF">2024-02-21T10:00:00Z</dcterms:modified>
</cp:coreProperties>
</file>